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DF128" w14:textId="4903D8A5" w:rsidR="00452929" w:rsidRDefault="00452929" w:rsidP="00452929">
      <w:pPr>
        <w:pStyle w:val="Titel"/>
      </w:pPr>
      <w:r>
        <w:t>GEDRAGSCODE LEVERANCIERS</w:t>
      </w:r>
    </w:p>
    <w:p w14:paraId="1B85B3F8" w14:textId="73560383" w:rsidR="00452929" w:rsidRDefault="00452929"/>
    <w:p w14:paraId="45D1B14D" w14:textId="188BA26E" w:rsidR="00452929" w:rsidRDefault="00452929"/>
    <w:p w14:paraId="3FE30611" w14:textId="036C852F" w:rsidR="00452929" w:rsidRDefault="00452929"/>
    <w:p w14:paraId="753E08BB" w14:textId="77777777" w:rsidR="00452929" w:rsidRDefault="00452929"/>
    <w:p w14:paraId="7A4FD4E8" w14:textId="77777777" w:rsidR="00452929" w:rsidRDefault="00452929"/>
    <w:p w14:paraId="36FC8C35" w14:textId="77777777" w:rsidR="00452929" w:rsidRDefault="00452929"/>
    <w:p w14:paraId="260554A6" w14:textId="746A88A5" w:rsidR="00452929" w:rsidRDefault="00452929">
      <w:r>
        <w:rPr>
          <w:noProof/>
          <w:lang w:eastAsia="nl-NL"/>
        </w:rPr>
        <w:drawing>
          <wp:inline distT="0" distB="0" distL="0" distR="0" wp14:anchorId="6B5D5349" wp14:editId="064AE320">
            <wp:extent cx="5029200" cy="1247775"/>
            <wp:effectExtent l="0" t="0" r="0" b="952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029200" cy="1247775"/>
                    </a:xfrm>
                    <a:prstGeom prst="rect">
                      <a:avLst/>
                    </a:prstGeom>
                  </pic:spPr>
                </pic:pic>
              </a:graphicData>
            </a:graphic>
          </wp:inline>
        </w:drawing>
      </w:r>
    </w:p>
    <w:p w14:paraId="3609085F" w14:textId="77777777" w:rsidR="00452929" w:rsidRDefault="00452929">
      <w:r>
        <w:br w:type="page"/>
      </w:r>
    </w:p>
    <w:p w14:paraId="54D0FB2C" w14:textId="77777777" w:rsidR="00452929" w:rsidRPr="009601BF" w:rsidRDefault="00452929" w:rsidP="00452929">
      <w:pPr>
        <w:pStyle w:val="Kop1"/>
        <w:rPr>
          <w:rStyle w:val="A2"/>
          <w:rFonts w:cs="Times New Roman"/>
          <w:b/>
          <w:bCs w:val="0"/>
          <w:sz w:val="48"/>
          <w:szCs w:val="44"/>
        </w:rPr>
      </w:pPr>
      <w:r w:rsidRPr="009601BF">
        <w:rPr>
          <w:rStyle w:val="A2"/>
          <w:rFonts w:cs="Times New Roman"/>
          <w:b/>
          <w:bCs w:val="0"/>
          <w:sz w:val="48"/>
          <w:szCs w:val="44"/>
        </w:rPr>
        <w:lastRenderedPageBreak/>
        <w:t>Introductie</w:t>
      </w:r>
    </w:p>
    <w:p w14:paraId="7040ACCF" w14:textId="77777777" w:rsidR="00452929" w:rsidRPr="00452929" w:rsidRDefault="00452929" w:rsidP="004D04BD">
      <w:pPr>
        <w:pStyle w:val="Kop2"/>
        <w:numPr>
          <w:ilvl w:val="0"/>
          <w:numId w:val="0"/>
        </w:numPr>
        <w:rPr>
          <w:rStyle w:val="A2"/>
          <w:rFonts w:asciiTheme="minorHAnsi" w:hAnsiTheme="minorHAnsi" w:cstheme="minorHAnsi"/>
          <w:color w:val="auto"/>
          <w:sz w:val="22"/>
          <w:szCs w:val="22"/>
        </w:rPr>
      </w:pPr>
      <w:r w:rsidRPr="00452929">
        <w:rPr>
          <w:rStyle w:val="A2"/>
          <w:rFonts w:asciiTheme="minorHAnsi" w:hAnsiTheme="minorHAnsi" w:cstheme="minorHAnsi"/>
          <w:color w:val="auto"/>
          <w:sz w:val="22"/>
          <w:szCs w:val="22"/>
        </w:rPr>
        <w:t>AXIRA</w:t>
      </w:r>
    </w:p>
    <w:p w14:paraId="3BD69943" w14:textId="0016CB24" w:rsidR="00452929" w:rsidRDefault="00FA0DA3" w:rsidP="00452929">
      <w:proofErr w:type="spellStart"/>
      <w:r>
        <w:t>Axira</w:t>
      </w:r>
      <w:proofErr w:type="spellEnd"/>
      <w:r>
        <w:t xml:space="preserve"> is </w:t>
      </w:r>
      <w:r w:rsidR="00452929" w:rsidRPr="00452929">
        <w:t>een landelijk opererend samenwerkingsverband van zelfstandige regionale org</w:t>
      </w:r>
      <w:r>
        <w:t>anisaties voor de ambulancezorg,</w:t>
      </w:r>
      <w:r w:rsidR="00452929" w:rsidRPr="00452929">
        <w:t xml:space="preserve"> opgericht in 2009. Leden van </w:t>
      </w:r>
      <w:proofErr w:type="spellStart"/>
      <w:r w:rsidR="00452929" w:rsidRPr="00452929">
        <w:t>Axira</w:t>
      </w:r>
      <w:proofErr w:type="spellEnd"/>
      <w:r w:rsidR="00452929" w:rsidRPr="00452929">
        <w:t xml:space="preserve"> vinden elkaar in een gezamenlijke visie op vernieuwing, kwaliteit, efficiency en continuïteit. Door goede samenwerking en kennisuitwisseling zijn wij in staat om innovaties sneller, beter en goedkoper te realiseren.</w:t>
      </w:r>
    </w:p>
    <w:p w14:paraId="679063D3" w14:textId="5D936222" w:rsidR="00452929" w:rsidRPr="00452929" w:rsidRDefault="00452929" w:rsidP="00452929">
      <w:pPr>
        <w:rPr>
          <w:b/>
          <w:bCs/>
        </w:rPr>
      </w:pPr>
      <w:r w:rsidRPr="00452929">
        <w:rPr>
          <w:b/>
          <w:bCs/>
        </w:rPr>
        <w:t>Missie:</w:t>
      </w:r>
    </w:p>
    <w:p w14:paraId="00B8C96E" w14:textId="7A14DF40" w:rsidR="00452929" w:rsidRPr="005E7234" w:rsidRDefault="00452929" w:rsidP="00452929">
      <w:r w:rsidRPr="005E7234">
        <w:t xml:space="preserve">Samen sta je sterker! Dat is de kern van onze coöperatie. </w:t>
      </w:r>
      <w:proofErr w:type="spellStart"/>
      <w:r w:rsidRPr="005E7234">
        <w:t>Axira</w:t>
      </w:r>
      <w:proofErr w:type="spellEnd"/>
      <w:r w:rsidRPr="005E7234">
        <w:t xml:space="preserve"> brengt leden samen. We bundelen onze krachten en versterken zo ons gezamenlijk belang: excellente patiëntenzorg in de regio met de beste,</w:t>
      </w:r>
      <w:r w:rsidR="00FA0DA3">
        <w:t xml:space="preserve"> meest uitgebreide en efficiënt</w:t>
      </w:r>
      <w:r w:rsidRPr="005E7234">
        <w:t xml:space="preserve"> ingerichte ambulancezorg. De coöperatie inspireert en verbindt vernieuwende regionale aanbieders van ambulancezorg in Nederland.</w:t>
      </w:r>
    </w:p>
    <w:p w14:paraId="49FCBC3B" w14:textId="67837BC5" w:rsidR="00452929" w:rsidRPr="00452929" w:rsidRDefault="00452929" w:rsidP="00452929">
      <w:pPr>
        <w:rPr>
          <w:rStyle w:val="A2"/>
          <w:rFonts w:cstheme="minorHAnsi"/>
          <w:color w:val="auto"/>
          <w:sz w:val="22"/>
          <w:szCs w:val="22"/>
        </w:rPr>
      </w:pPr>
      <w:r w:rsidRPr="00452929">
        <w:rPr>
          <w:rStyle w:val="A2"/>
          <w:rFonts w:cstheme="minorHAnsi"/>
          <w:color w:val="auto"/>
          <w:sz w:val="22"/>
          <w:szCs w:val="22"/>
        </w:rPr>
        <w:t>Wij geloven dat het nemen van maatschappelijke verantwoordelijkheid ervoor zorgt dat onze activiteiten meer waarde toevoegen en dat we daarmee ook onze meerwaarde</w:t>
      </w:r>
      <w:r>
        <w:rPr>
          <w:rStyle w:val="A2"/>
          <w:rFonts w:cstheme="minorHAnsi"/>
          <w:color w:val="auto"/>
          <w:sz w:val="22"/>
          <w:szCs w:val="22"/>
        </w:rPr>
        <w:t xml:space="preserve"> </w:t>
      </w:r>
      <w:r w:rsidRPr="00452929">
        <w:rPr>
          <w:rStyle w:val="A2"/>
          <w:rFonts w:cstheme="minorHAnsi"/>
          <w:color w:val="auto"/>
          <w:sz w:val="22"/>
          <w:szCs w:val="22"/>
        </w:rPr>
        <w:t>vergroten voor onze partners. We on</w:t>
      </w:r>
      <w:r>
        <w:rPr>
          <w:rStyle w:val="A2"/>
          <w:rFonts w:cstheme="minorHAnsi"/>
          <w:color w:val="auto"/>
          <w:sz w:val="22"/>
          <w:szCs w:val="22"/>
        </w:rPr>
        <w:t>ze inkoop en</w:t>
      </w:r>
      <w:r w:rsidRPr="00452929">
        <w:rPr>
          <w:rStyle w:val="A2"/>
          <w:rFonts w:cstheme="minorHAnsi"/>
          <w:color w:val="auto"/>
          <w:sz w:val="22"/>
          <w:szCs w:val="22"/>
        </w:rPr>
        <w:t xml:space="preserve"> </w:t>
      </w:r>
      <w:r w:rsidR="00FA0DA3">
        <w:rPr>
          <w:rStyle w:val="A2"/>
          <w:rFonts w:cstheme="minorHAnsi"/>
          <w:color w:val="auto"/>
          <w:sz w:val="22"/>
          <w:szCs w:val="22"/>
        </w:rPr>
        <w:t xml:space="preserve">ons </w:t>
      </w:r>
      <w:r w:rsidRPr="00452929">
        <w:rPr>
          <w:rStyle w:val="A2"/>
          <w:rFonts w:cstheme="minorHAnsi"/>
          <w:color w:val="auto"/>
          <w:sz w:val="22"/>
          <w:szCs w:val="22"/>
        </w:rPr>
        <w:t>risicomanagement optimali</w:t>
      </w:r>
      <w:r w:rsidR="00FA0DA3">
        <w:rPr>
          <w:rStyle w:val="A2"/>
          <w:rFonts w:cstheme="minorHAnsi"/>
          <w:color w:val="auto"/>
          <w:sz w:val="22"/>
          <w:szCs w:val="22"/>
        </w:rPr>
        <w:t>seren, de risico’s verkleinen</w:t>
      </w:r>
      <w:r w:rsidRPr="00452929">
        <w:rPr>
          <w:rStyle w:val="A2"/>
          <w:rFonts w:cstheme="minorHAnsi"/>
          <w:color w:val="auto"/>
          <w:sz w:val="22"/>
          <w:szCs w:val="22"/>
        </w:rPr>
        <w:t xml:space="preserve"> </w:t>
      </w:r>
      <w:r>
        <w:rPr>
          <w:rStyle w:val="A2"/>
          <w:rFonts w:cstheme="minorHAnsi"/>
          <w:color w:val="auto"/>
          <w:sz w:val="22"/>
          <w:szCs w:val="22"/>
        </w:rPr>
        <w:t>en onze maatschappelijke verantwoordelijkheid vergroten.</w:t>
      </w:r>
    </w:p>
    <w:p w14:paraId="7FCDEF2F" w14:textId="77777777" w:rsidR="00452929" w:rsidRPr="00452929" w:rsidRDefault="00452929" w:rsidP="004D04BD">
      <w:pPr>
        <w:pStyle w:val="Kop2"/>
        <w:numPr>
          <w:ilvl w:val="0"/>
          <w:numId w:val="0"/>
        </w:numPr>
        <w:rPr>
          <w:rStyle w:val="A2"/>
          <w:rFonts w:asciiTheme="minorHAnsi" w:hAnsiTheme="minorHAnsi" w:cstheme="minorHAnsi"/>
          <w:color w:val="auto"/>
          <w:sz w:val="22"/>
          <w:szCs w:val="22"/>
        </w:rPr>
      </w:pPr>
      <w:r w:rsidRPr="00452929">
        <w:rPr>
          <w:rStyle w:val="A2"/>
          <w:rFonts w:asciiTheme="minorHAnsi" w:hAnsiTheme="minorHAnsi" w:cstheme="minorHAnsi"/>
          <w:color w:val="auto"/>
          <w:sz w:val="22"/>
          <w:szCs w:val="22"/>
        </w:rPr>
        <w:t>Gedragscode</w:t>
      </w:r>
    </w:p>
    <w:p w14:paraId="1A5DD06B" w14:textId="42FA79A4" w:rsidR="00452929" w:rsidRPr="00452929" w:rsidRDefault="00452929" w:rsidP="00452929">
      <w:pPr>
        <w:rPr>
          <w:rStyle w:val="A2"/>
          <w:rFonts w:cstheme="minorHAnsi"/>
          <w:color w:val="auto"/>
          <w:sz w:val="22"/>
          <w:szCs w:val="22"/>
        </w:rPr>
      </w:pPr>
      <w:r w:rsidRPr="00452929">
        <w:rPr>
          <w:rStyle w:val="A2"/>
          <w:rFonts w:cstheme="minorHAnsi"/>
          <w:color w:val="auto"/>
          <w:sz w:val="22"/>
          <w:szCs w:val="22"/>
        </w:rPr>
        <w:t xml:space="preserve">De Gedragscode Leveranciers </w:t>
      </w:r>
      <w:r w:rsidRPr="00452929">
        <w:rPr>
          <w:rFonts w:cstheme="minorHAnsi"/>
        </w:rPr>
        <w:t xml:space="preserve">is gebaseerd op de richtlijnen van de Organisatie voor Economische Samenwerking en Ontwikkeling (OESO). De leverancier committeert zich door het ondertekenen van deze gedragscode, aan alle onderstaande waarden. Daarnaast onderkent leverancier dat geconstateerde afwijkingen van invloed kunnen zijn op de relatie en/of de samenwerking met </w:t>
      </w:r>
      <w:proofErr w:type="spellStart"/>
      <w:r>
        <w:rPr>
          <w:rFonts w:cstheme="minorHAnsi"/>
        </w:rPr>
        <w:t>Axira</w:t>
      </w:r>
      <w:proofErr w:type="spellEnd"/>
      <w:r>
        <w:rPr>
          <w:rFonts w:cstheme="minorHAnsi"/>
        </w:rPr>
        <w:t xml:space="preserve"> en haar partners. </w:t>
      </w:r>
      <w:r w:rsidRPr="00452929">
        <w:rPr>
          <w:rFonts w:cstheme="minorHAnsi"/>
        </w:rPr>
        <w:t>De leverancier zorgt bovendien dat zijn medewerkers, toeleveranciers en derden die hij inschakelt, zich aan de vigerende wet- en regelgeving en deze gedragscode houden.</w:t>
      </w:r>
    </w:p>
    <w:p w14:paraId="1C11538B" w14:textId="77777777" w:rsidR="00452929" w:rsidRPr="00FA0DA3" w:rsidRDefault="00452929" w:rsidP="004D04BD">
      <w:pPr>
        <w:pStyle w:val="Kop2"/>
        <w:numPr>
          <w:ilvl w:val="0"/>
          <w:numId w:val="0"/>
        </w:numPr>
        <w:rPr>
          <w:rStyle w:val="A2"/>
          <w:rFonts w:asciiTheme="minorHAnsi" w:hAnsiTheme="minorHAnsi" w:cstheme="minorHAnsi"/>
          <w:sz w:val="22"/>
          <w:szCs w:val="22"/>
        </w:rPr>
      </w:pPr>
      <w:r w:rsidRPr="00FA0DA3">
        <w:rPr>
          <w:rStyle w:val="A2"/>
          <w:rFonts w:asciiTheme="minorHAnsi" w:hAnsiTheme="minorHAnsi" w:cstheme="minorHAnsi"/>
          <w:sz w:val="22"/>
          <w:szCs w:val="22"/>
        </w:rPr>
        <w:t>Commitment</w:t>
      </w:r>
    </w:p>
    <w:p w14:paraId="5FBEB796" w14:textId="79DF5DB4" w:rsidR="00452929" w:rsidRDefault="00452929" w:rsidP="00452929">
      <w:proofErr w:type="spellStart"/>
      <w:r>
        <w:t>Axira</w:t>
      </w:r>
      <w:proofErr w:type="spellEnd"/>
      <w:r>
        <w:t xml:space="preserve"> heeft haar CSR (Corporate </w:t>
      </w:r>
      <w:proofErr w:type="spellStart"/>
      <w:r>
        <w:t>Social</w:t>
      </w:r>
      <w:proofErr w:type="spellEnd"/>
      <w:r>
        <w:t xml:space="preserve"> </w:t>
      </w:r>
      <w:proofErr w:type="spellStart"/>
      <w:r>
        <w:t>Responsibility</w:t>
      </w:r>
      <w:proofErr w:type="spellEnd"/>
      <w:r>
        <w:t>) gestoeld op de impact die zij vanuit haar professie kan maken: Facility Management.</w:t>
      </w:r>
    </w:p>
    <w:p w14:paraId="3295E942" w14:textId="77777777" w:rsidR="00452929" w:rsidRDefault="00452929" w:rsidP="00452929"/>
    <w:p w14:paraId="3C2254CE" w14:textId="77777777" w:rsidR="00452929" w:rsidRDefault="00452929" w:rsidP="00452929">
      <w:r>
        <w:t>Deze impact is gericht op:</w:t>
      </w:r>
    </w:p>
    <w:p w14:paraId="0C1C35C9" w14:textId="77777777" w:rsidR="00452929" w:rsidRDefault="00452929" w:rsidP="00452929">
      <w:pPr>
        <w:pStyle w:val="Lijstalinea"/>
        <w:numPr>
          <w:ilvl w:val="0"/>
          <w:numId w:val="2"/>
        </w:numPr>
      </w:pPr>
      <w:r>
        <w:t xml:space="preserve">Mensenrechten (SDG 10); </w:t>
      </w:r>
    </w:p>
    <w:p w14:paraId="3148166B" w14:textId="77777777" w:rsidR="00452929" w:rsidRDefault="00452929" w:rsidP="00452929">
      <w:pPr>
        <w:pStyle w:val="Lijstalinea"/>
        <w:numPr>
          <w:ilvl w:val="0"/>
          <w:numId w:val="2"/>
        </w:numPr>
      </w:pPr>
      <w:r>
        <w:t>Arbeidspraktijk (SDG 4);</w:t>
      </w:r>
    </w:p>
    <w:p w14:paraId="3590DBC4" w14:textId="77777777" w:rsidR="00452929" w:rsidRDefault="00452929" w:rsidP="00452929">
      <w:pPr>
        <w:pStyle w:val="Lijstalinea"/>
        <w:numPr>
          <w:ilvl w:val="0"/>
          <w:numId w:val="2"/>
        </w:numPr>
      </w:pPr>
      <w:r>
        <w:t>Milieu (SDG 12, SDG 13);</w:t>
      </w:r>
    </w:p>
    <w:p w14:paraId="114BC054" w14:textId="77777777" w:rsidR="00452929" w:rsidRDefault="00452929" w:rsidP="00452929">
      <w:pPr>
        <w:pStyle w:val="Lijstalinea"/>
        <w:numPr>
          <w:ilvl w:val="0"/>
          <w:numId w:val="2"/>
        </w:numPr>
      </w:pPr>
      <w:r>
        <w:t>Eerlijk zaken doen (SDG 8, SDG 10, SDG 12).</w:t>
      </w:r>
    </w:p>
    <w:p w14:paraId="221E0CFE" w14:textId="77777777" w:rsidR="00452929" w:rsidRDefault="00452929" w:rsidP="00452929"/>
    <w:p w14:paraId="75E521C5" w14:textId="39CF1B83" w:rsidR="00452929" w:rsidRDefault="00452929" w:rsidP="00452929">
      <w:r>
        <w:t xml:space="preserve">Om impact te maken, is </w:t>
      </w:r>
      <w:proofErr w:type="spellStart"/>
      <w:r>
        <w:t>Axira</w:t>
      </w:r>
      <w:proofErr w:type="spellEnd"/>
      <w:r>
        <w:t xml:space="preserve"> sterk afhankelijk van haar leveranciers. De leveranciers zijn namelijk verantwoordelijk voor een groot deel van de dienstverlening bij klanten. Dit betekent ook dat </w:t>
      </w:r>
      <w:proofErr w:type="spellStart"/>
      <w:r>
        <w:t>Axira</w:t>
      </w:r>
      <w:proofErr w:type="spellEnd"/>
      <w:r>
        <w:t xml:space="preserve"> </w:t>
      </w:r>
      <w:r>
        <w:lastRenderedPageBreak/>
        <w:t>alleen samenwerkt met leveranciers die zich herkennen in dit commitment en zich er ook aan kunnen conformeren.</w:t>
      </w:r>
    </w:p>
    <w:p w14:paraId="28C42FC6" w14:textId="77777777" w:rsidR="00452929" w:rsidRDefault="00452929" w:rsidP="00452929"/>
    <w:p w14:paraId="2EA72253" w14:textId="77777777" w:rsidR="00452929" w:rsidRPr="009601BF" w:rsidRDefault="00452929" w:rsidP="00452929">
      <w:pPr>
        <w:pStyle w:val="Kop1"/>
        <w:rPr>
          <w:b/>
          <w:bCs w:val="0"/>
          <w:sz w:val="48"/>
          <w:szCs w:val="22"/>
        </w:rPr>
      </w:pPr>
      <w:r w:rsidRPr="009601BF">
        <w:rPr>
          <w:b/>
          <w:bCs w:val="0"/>
          <w:sz w:val="48"/>
          <w:szCs w:val="22"/>
        </w:rPr>
        <w:t xml:space="preserve">Corporate </w:t>
      </w:r>
      <w:proofErr w:type="spellStart"/>
      <w:r w:rsidRPr="009601BF">
        <w:rPr>
          <w:b/>
          <w:bCs w:val="0"/>
          <w:sz w:val="48"/>
          <w:szCs w:val="22"/>
        </w:rPr>
        <w:t>Social</w:t>
      </w:r>
      <w:proofErr w:type="spellEnd"/>
      <w:r w:rsidRPr="009601BF">
        <w:rPr>
          <w:b/>
          <w:bCs w:val="0"/>
          <w:sz w:val="48"/>
          <w:szCs w:val="22"/>
        </w:rPr>
        <w:t xml:space="preserve"> </w:t>
      </w:r>
      <w:proofErr w:type="spellStart"/>
      <w:r w:rsidRPr="009601BF">
        <w:rPr>
          <w:b/>
          <w:bCs w:val="0"/>
          <w:sz w:val="48"/>
          <w:szCs w:val="22"/>
        </w:rPr>
        <w:t>Responsibility</w:t>
      </w:r>
      <w:proofErr w:type="spellEnd"/>
    </w:p>
    <w:p w14:paraId="5CDC8DBC" w14:textId="77777777" w:rsidR="00452929" w:rsidRDefault="00452929" w:rsidP="004D04BD">
      <w:pPr>
        <w:pStyle w:val="Kop2"/>
        <w:numPr>
          <w:ilvl w:val="0"/>
          <w:numId w:val="0"/>
        </w:numPr>
      </w:pPr>
      <w:r>
        <w:t>Mensenrechten</w:t>
      </w:r>
    </w:p>
    <w:p w14:paraId="14365F5C" w14:textId="7EF825A7" w:rsidR="00452929" w:rsidRDefault="00452929" w:rsidP="00452929">
      <w:pPr>
        <w:rPr>
          <w:i/>
          <w:iCs/>
        </w:rPr>
      </w:pPr>
      <w:proofErr w:type="spellStart"/>
      <w:r>
        <w:rPr>
          <w:i/>
          <w:iCs/>
        </w:rPr>
        <w:t>Axira</w:t>
      </w:r>
      <w:proofErr w:type="spellEnd"/>
      <w:r w:rsidRPr="00D6719F">
        <w:rPr>
          <w:i/>
          <w:iCs/>
        </w:rPr>
        <w:t xml:space="preserve"> committeert zich aan het (bevorderen van) werk voor kwetsbare groepen. Het creëren van kansen voor mensen met een afstand tot de arbeidsmarkt en het leveren van een bijdrage aan gelijke kansen op de werkvloer (</w:t>
      </w:r>
      <w:proofErr w:type="spellStart"/>
      <w:r w:rsidRPr="00D6719F">
        <w:rPr>
          <w:i/>
          <w:iCs/>
        </w:rPr>
        <w:t>inclusiviteit</w:t>
      </w:r>
      <w:proofErr w:type="spellEnd"/>
      <w:r w:rsidRPr="00D6719F">
        <w:rPr>
          <w:i/>
          <w:iCs/>
        </w:rPr>
        <w:t xml:space="preserve"> en gelijkheid). Wij hechten waarde aan ondernemend zijn, authentieke inbreng, innovatie en concretisering door iedereen. Diversiteit en inclusie herinnert ons allemaal aan het feit dat we ertoe doen en belangrijk zijn.</w:t>
      </w:r>
    </w:p>
    <w:p w14:paraId="04F4FBC8" w14:textId="77777777" w:rsidR="00452929" w:rsidRDefault="00452929" w:rsidP="00452929">
      <w:pPr>
        <w:rPr>
          <w:i/>
          <w:iCs/>
        </w:rPr>
      </w:pPr>
    </w:p>
    <w:p w14:paraId="456BD357" w14:textId="77777777" w:rsidR="00452929" w:rsidRDefault="00452929" w:rsidP="00452929">
      <w:pPr>
        <w:rPr>
          <w:i/>
          <w:iCs/>
        </w:rPr>
      </w:pPr>
      <w:r>
        <w:rPr>
          <w:i/>
          <w:iCs/>
        </w:rPr>
        <w:t>Het volgende wordt van leveranciers verwacht:</w:t>
      </w:r>
    </w:p>
    <w:p w14:paraId="54978679" w14:textId="77777777" w:rsidR="00452929" w:rsidRDefault="00452929" w:rsidP="00452929">
      <w:pPr>
        <w:pStyle w:val="Kop3"/>
      </w:pPr>
      <w:r>
        <w:t>Anti-discriminatie</w:t>
      </w:r>
    </w:p>
    <w:p w14:paraId="540EAFF0" w14:textId="77777777" w:rsidR="00452929" w:rsidRDefault="00452929" w:rsidP="00452929">
      <w:r>
        <w:t>Alle anti-discriminatiebepalingen zoals vastgelegd in (supra)nationale wet- en regelgeving worden gerespecteerd en nageleefd. Er wordt door leverancier niet gediscrimineerd op basis van leeftijd, nationaliteit, ras, ethische achtergrond, sekse, geaardheid of lichamelijke beperking.</w:t>
      </w:r>
    </w:p>
    <w:p w14:paraId="52807E2D" w14:textId="77777777" w:rsidR="00452929" w:rsidRDefault="00452929" w:rsidP="00452929">
      <w:pPr>
        <w:pStyle w:val="Kop3"/>
      </w:pPr>
      <w:r>
        <w:t>Kinderarbeid</w:t>
      </w:r>
    </w:p>
    <w:p w14:paraId="05A2FE82" w14:textId="07634E03" w:rsidR="00452929" w:rsidRDefault="00452929" w:rsidP="00452929">
      <w:bookmarkStart w:id="0" w:name="_Hlk78374235"/>
      <w:r>
        <w:t xml:space="preserve">Leveranciers </w:t>
      </w:r>
      <w:bookmarkEnd w:id="0"/>
      <w:r>
        <w:t xml:space="preserve">onthouden zich van kinderarbeid. Alle (supra)nationale wet- en regelgeving die van toepassing is op kinderarbeid wordt hiertoe gerespecteerd. In het bijzonder zijn van belang de ILO-conventies 138 en 182. Deze verklaren onder andere dat leerplichtige kinderen (in het algemeen tot en met de leeftijd van </w:t>
      </w:r>
      <w:r w:rsidR="003728F5">
        <w:t>15) niet behoren tot werknemers</w:t>
      </w:r>
      <w:r>
        <w:t xml:space="preserve"> en dat kinderen niet worden ingezet in gevaarlijk werk, vormen van slavernij en gewapende arbeid.</w:t>
      </w:r>
    </w:p>
    <w:p w14:paraId="590A6531" w14:textId="77777777" w:rsidR="00452929" w:rsidRDefault="00452929" w:rsidP="00452929">
      <w:pPr>
        <w:pStyle w:val="Kop3"/>
        <w:numPr>
          <w:ilvl w:val="0"/>
          <w:numId w:val="0"/>
        </w:numPr>
      </w:pPr>
      <w:r>
        <w:t>Vrijwillige arbeid</w:t>
      </w:r>
    </w:p>
    <w:p w14:paraId="7ED8F554" w14:textId="77777777" w:rsidR="00452929" w:rsidRDefault="00452929" w:rsidP="00452929">
      <w:r>
        <w:t>Leveranciers garanderen dat arbeid door hun werknemers berust op vrijwillige afspraak en dat er geen gedwongen arbeid plaatsvindt. Tevens verplichten leveranciers hun medewerkers nooit om door de overheid uitgegeven identificatiepapieren, paspoorten of werkvergunningen af te staan als voorwaarde voor werk</w:t>
      </w:r>
    </w:p>
    <w:p w14:paraId="64488103" w14:textId="77777777" w:rsidR="00452929" w:rsidRDefault="00452929" w:rsidP="004D04BD">
      <w:pPr>
        <w:pStyle w:val="Kop2"/>
        <w:numPr>
          <w:ilvl w:val="0"/>
          <w:numId w:val="0"/>
        </w:numPr>
      </w:pPr>
      <w:r>
        <w:t>Arbeidspraktijk</w:t>
      </w:r>
    </w:p>
    <w:p w14:paraId="4C8A46B3" w14:textId="48328C16" w:rsidR="00452929" w:rsidRDefault="00452929" w:rsidP="00452929">
      <w:pPr>
        <w:rPr>
          <w:i/>
          <w:iCs/>
        </w:rPr>
      </w:pPr>
      <w:r>
        <w:rPr>
          <w:i/>
          <w:iCs/>
        </w:rPr>
        <w:t>W</w:t>
      </w:r>
      <w:r w:rsidRPr="00346DDD">
        <w:rPr>
          <w:i/>
          <w:iCs/>
        </w:rPr>
        <w:t>ij</w:t>
      </w:r>
      <w:r>
        <w:rPr>
          <w:i/>
          <w:iCs/>
        </w:rPr>
        <w:t xml:space="preserve"> vragen</w:t>
      </w:r>
      <w:r w:rsidR="003728F5">
        <w:rPr>
          <w:i/>
          <w:iCs/>
        </w:rPr>
        <w:t xml:space="preserve"> ook aan onze leveranciers</w:t>
      </w:r>
      <w:r w:rsidRPr="00346DDD">
        <w:rPr>
          <w:i/>
          <w:iCs/>
        </w:rPr>
        <w:t xml:space="preserve"> aandacht </w:t>
      </w:r>
      <w:r w:rsidR="003728F5">
        <w:rPr>
          <w:i/>
          <w:iCs/>
        </w:rPr>
        <w:t>voor</w:t>
      </w:r>
      <w:r>
        <w:rPr>
          <w:i/>
          <w:iCs/>
        </w:rPr>
        <w:t xml:space="preserve"> </w:t>
      </w:r>
      <w:r w:rsidRPr="00346DDD">
        <w:rPr>
          <w:i/>
          <w:iCs/>
        </w:rPr>
        <w:t>en op een respectvolle wijze de arbeidspraktijk vorm te geven.</w:t>
      </w:r>
    </w:p>
    <w:p w14:paraId="6FC72F78" w14:textId="77777777" w:rsidR="00452929" w:rsidRDefault="00452929" w:rsidP="00452929">
      <w:pPr>
        <w:rPr>
          <w:i/>
          <w:iCs/>
        </w:rPr>
      </w:pPr>
    </w:p>
    <w:p w14:paraId="477504C1" w14:textId="77777777" w:rsidR="00452929" w:rsidRPr="008E13A3" w:rsidRDefault="00452929" w:rsidP="00452929">
      <w:pPr>
        <w:rPr>
          <w:i/>
          <w:iCs/>
        </w:rPr>
      </w:pPr>
      <w:r w:rsidRPr="008E13A3">
        <w:rPr>
          <w:i/>
          <w:iCs/>
        </w:rPr>
        <w:t xml:space="preserve">Samen met onze leveranciers respecteren we daarom de Universele Verklaring voor de Rechten van de Mens, de internationale arbeidsvoorwaarden- en arbeidsomstandighedenverdragen, zoals deze </w:t>
      </w:r>
      <w:r w:rsidRPr="008E13A3">
        <w:rPr>
          <w:i/>
          <w:iCs/>
        </w:rPr>
        <w:lastRenderedPageBreak/>
        <w:t xml:space="preserve">zijn geformuleerd door de International Labour </w:t>
      </w:r>
      <w:proofErr w:type="spellStart"/>
      <w:r w:rsidRPr="008E13A3">
        <w:rPr>
          <w:i/>
          <w:iCs/>
        </w:rPr>
        <w:t>Organisation</w:t>
      </w:r>
      <w:proofErr w:type="spellEnd"/>
      <w:r w:rsidRPr="008E13A3">
        <w:rPr>
          <w:i/>
          <w:iCs/>
        </w:rPr>
        <w:t xml:space="preserve"> (ILO). De volgende punten zijn hierbij met name van belang:</w:t>
      </w:r>
    </w:p>
    <w:p w14:paraId="6F444B2F" w14:textId="77777777" w:rsidR="00452929" w:rsidRDefault="00452929" w:rsidP="00452929">
      <w:pPr>
        <w:pStyle w:val="Kop3"/>
      </w:pPr>
      <w:r>
        <w:t>Verenigingen</w:t>
      </w:r>
    </w:p>
    <w:p w14:paraId="2A053992" w14:textId="77777777" w:rsidR="00452929" w:rsidRDefault="00452929" w:rsidP="00452929">
      <w:r>
        <w:t>Werknemers hebben het recht zich aan te sluiten bij (vak)verenigingen. Zij hebben het recht te participeren in (collectieve) onderhandelingen gericht op het bereiken van overeenstemming over arbeidsvoorwaarden.</w:t>
      </w:r>
    </w:p>
    <w:p w14:paraId="257E544E" w14:textId="77777777" w:rsidR="00452929" w:rsidRDefault="00452929" w:rsidP="00452929">
      <w:pPr>
        <w:pStyle w:val="Kop3"/>
      </w:pPr>
      <w:r>
        <w:t>Arbeidsomstandigheden</w:t>
      </w:r>
    </w:p>
    <w:p w14:paraId="7A750C00" w14:textId="77777777" w:rsidR="00452929" w:rsidRPr="006C1F20" w:rsidRDefault="00452929" w:rsidP="00452929">
      <w:pPr>
        <w:pStyle w:val="Geenafstand"/>
      </w:pPr>
      <w:r w:rsidRPr="006C1F20">
        <w:t xml:space="preserve">Er worden maatregelen genomen ter bevordering en waarborging van arbeidsomstandigheden. </w:t>
      </w:r>
    </w:p>
    <w:p w14:paraId="775A49C4" w14:textId="77777777" w:rsidR="00452929" w:rsidRPr="006C1F20" w:rsidRDefault="00452929" w:rsidP="00452929">
      <w:pPr>
        <w:pStyle w:val="Geenafstand"/>
      </w:pPr>
      <w:r w:rsidRPr="006C1F20">
        <w:t xml:space="preserve">Dit betreft in ieder geval </w:t>
      </w:r>
      <w:r>
        <w:t xml:space="preserve">voldoende </w:t>
      </w:r>
      <w:r w:rsidRPr="006C1F20">
        <w:t xml:space="preserve">werk- en rusttijden, veiligheidsmaatregelen en -voorzieningen, </w:t>
      </w:r>
    </w:p>
    <w:p w14:paraId="5DCCE873" w14:textId="77777777" w:rsidR="00452929" w:rsidRDefault="00452929" w:rsidP="00452929">
      <w:pPr>
        <w:pStyle w:val="Geenafstand"/>
      </w:pPr>
      <w:r w:rsidRPr="006C1F20">
        <w:t>maatregelen voor specifieke risicogroepen en de omgang met gevaarlijke stoffen.</w:t>
      </w:r>
    </w:p>
    <w:p w14:paraId="18FE748C" w14:textId="77777777" w:rsidR="00452929" w:rsidRDefault="00452929" w:rsidP="00452929"/>
    <w:p w14:paraId="74C9E07E" w14:textId="77777777" w:rsidR="00452929" w:rsidRPr="00A717E8" w:rsidRDefault="00452929" w:rsidP="00452929">
      <w:pPr>
        <w:pStyle w:val="Geenafstand"/>
        <w:rPr>
          <w:rFonts w:asciiTheme="majorHAnsi" w:hAnsiTheme="majorHAnsi" w:cstheme="majorHAnsi"/>
          <w:b/>
          <w:bCs/>
        </w:rPr>
      </w:pPr>
      <w:r w:rsidRPr="00A717E8">
        <w:rPr>
          <w:rFonts w:asciiTheme="majorHAnsi" w:hAnsiTheme="majorHAnsi" w:cstheme="majorHAnsi"/>
          <w:b/>
          <w:bCs/>
          <w:sz w:val="24"/>
          <w:szCs w:val="24"/>
        </w:rPr>
        <w:t>Beloning</w:t>
      </w:r>
    </w:p>
    <w:p w14:paraId="7FB64678" w14:textId="77777777" w:rsidR="00452929" w:rsidRDefault="00452929" w:rsidP="00452929">
      <w:pPr>
        <w:pStyle w:val="Geenafstand"/>
      </w:pPr>
      <w:r>
        <w:t>Leverancier voorziet in een leefbaar loon waarmee medewerkers minimaal in de basisbehoeften kunnen voorzien.</w:t>
      </w:r>
    </w:p>
    <w:p w14:paraId="0EBA5DD0" w14:textId="77777777" w:rsidR="00452929" w:rsidRDefault="00452929" w:rsidP="004D04BD">
      <w:pPr>
        <w:pStyle w:val="Kop2"/>
        <w:numPr>
          <w:ilvl w:val="0"/>
          <w:numId w:val="0"/>
        </w:numPr>
      </w:pPr>
      <w:r>
        <w:t>Milieu</w:t>
      </w:r>
    </w:p>
    <w:p w14:paraId="1EAD9D8D" w14:textId="0759E919" w:rsidR="00452929" w:rsidRPr="003A1991" w:rsidRDefault="00452929" w:rsidP="00452929">
      <w:pPr>
        <w:rPr>
          <w:i/>
          <w:iCs/>
        </w:rPr>
      </w:pPr>
      <w:proofErr w:type="spellStart"/>
      <w:r>
        <w:rPr>
          <w:i/>
          <w:iCs/>
        </w:rPr>
        <w:t>Axira</w:t>
      </w:r>
      <w:proofErr w:type="spellEnd"/>
      <w:r w:rsidRPr="003A1991">
        <w:rPr>
          <w:i/>
          <w:iCs/>
        </w:rPr>
        <w:t xml:space="preserve"> committeert zich aan het voorkomen van uitputting van grondstoffen en schade aan het milieu door het verlagen van haar CO2 footprint, het verminderen van afval, het reduceren van energieverbruik en</w:t>
      </w:r>
      <w:r w:rsidR="00A717E8">
        <w:rPr>
          <w:i/>
          <w:iCs/>
        </w:rPr>
        <w:t xml:space="preserve"> het gebruik van groene energie. Daarnaast</w:t>
      </w:r>
      <w:bookmarkStart w:id="1" w:name="_GoBack"/>
      <w:bookmarkEnd w:id="1"/>
      <w:r w:rsidRPr="003A1991">
        <w:rPr>
          <w:i/>
          <w:iCs/>
        </w:rPr>
        <w:t xml:space="preserve"> tevens het bedenken van circulaire concepten zowel voor haar eigen diensten als die in de facilitaire keten, om de planeet te beschermen terwijl we onze business uitvoeren.</w:t>
      </w:r>
    </w:p>
    <w:p w14:paraId="0581EB6A" w14:textId="77777777" w:rsidR="00452929" w:rsidRDefault="00452929" w:rsidP="00452929">
      <w:pPr>
        <w:pStyle w:val="Kop3"/>
      </w:pPr>
      <w:r>
        <w:t>Productsamenstelling</w:t>
      </w:r>
    </w:p>
    <w:p w14:paraId="6430F608" w14:textId="77777777" w:rsidR="00452929" w:rsidRDefault="00452929" w:rsidP="00452929">
      <w:r>
        <w:t xml:space="preserve">Bij de samenstelling van een product of dienst wordt rekening gehouden met de grondstoffen die gebruikt worden, de risico’s van gevaarlijke stoffen, combinaties van grondstoffen en de mogelijkheden tot hergebruik van grondstoffen en/of onderdelen aan het einde van de levensduur van het product. </w:t>
      </w:r>
    </w:p>
    <w:p w14:paraId="455B7768" w14:textId="77777777" w:rsidR="00452929" w:rsidRDefault="00452929" w:rsidP="00452929">
      <w:pPr>
        <w:pStyle w:val="Kop3"/>
      </w:pPr>
      <w:r>
        <w:t>Afval en Recycling</w:t>
      </w:r>
    </w:p>
    <w:p w14:paraId="6100BD33" w14:textId="77777777" w:rsidR="00452929" w:rsidRDefault="00452929" w:rsidP="00452929">
      <w:r>
        <w:t>Afval wordt zoveel mogelijk voorkomen. Mogelijkheden tot recycling worden onderzocht en waar mogelijk in praktijk gebracht. Retourname van producten door de leverancier aan het einde van de levensduur (waarbij leveranciers verantwoordelijkheid nemen voor het product en de grondstoffen) is een gewaardeerde optie.</w:t>
      </w:r>
    </w:p>
    <w:p w14:paraId="7467475C" w14:textId="77777777" w:rsidR="00452929" w:rsidRDefault="00452929" w:rsidP="00452929">
      <w:pPr>
        <w:pStyle w:val="Kop3"/>
      </w:pPr>
      <w:r>
        <w:t>CO2 footprint</w:t>
      </w:r>
    </w:p>
    <w:p w14:paraId="39297B99" w14:textId="77777777" w:rsidR="00452929" w:rsidRDefault="00452929" w:rsidP="00452929">
      <w:r>
        <w:t>Leverancier dient de CO2 footprint van bedrijfsprocessen, producten en diensten zo laag mogelijk te maken en een milieumanagementsysteem of certificering hanteren om de milieuprestaties van de organisatie inzichtelijk te maken en te verbeteren.</w:t>
      </w:r>
    </w:p>
    <w:p w14:paraId="07777B12" w14:textId="77777777" w:rsidR="00452929" w:rsidRDefault="00452929" w:rsidP="004D04BD">
      <w:pPr>
        <w:pStyle w:val="Kop2"/>
        <w:numPr>
          <w:ilvl w:val="0"/>
          <w:numId w:val="0"/>
        </w:numPr>
      </w:pPr>
      <w:r>
        <w:lastRenderedPageBreak/>
        <w:t>Eerlijk zaken doen</w:t>
      </w:r>
    </w:p>
    <w:p w14:paraId="47865848" w14:textId="7F8DAE4D" w:rsidR="00452929" w:rsidRPr="005B727B" w:rsidRDefault="00452929" w:rsidP="00452929">
      <w:pPr>
        <w:rPr>
          <w:i/>
          <w:iCs/>
        </w:rPr>
      </w:pPr>
      <w:r w:rsidRPr="005B727B">
        <w:rPr>
          <w:i/>
          <w:iCs/>
        </w:rPr>
        <w:t>Eerlijkheid duurt het langst en is op de lange termijn het beste voor mens én planeet. We committeren ons aan het respecteren van de mensenrechten, het monitoren van de veiligheid en integriteit van onze producten en diensten, ethisch gedrag in zakendoen en het verlagen van onze ecologische footprint binnen de facilitaire keten. In onze gedragscode partners hebben we vastgelegd op welke wijze wij maatschappelijk verantwoord producten, diensten en materialen</w:t>
      </w:r>
      <w:r>
        <w:rPr>
          <w:i/>
          <w:iCs/>
        </w:rPr>
        <w:t xml:space="preserve"> </w:t>
      </w:r>
      <w:r w:rsidRPr="005B727B">
        <w:rPr>
          <w:i/>
          <w:iCs/>
        </w:rPr>
        <w:t xml:space="preserve">inkopen. Tevens is ons inkoopbeleid gestoeld op eerlijke concurrentie en </w:t>
      </w:r>
      <w:proofErr w:type="spellStart"/>
      <w:r w:rsidRPr="005B727B">
        <w:rPr>
          <w:i/>
          <w:iCs/>
        </w:rPr>
        <w:t>anti-trust</w:t>
      </w:r>
      <w:proofErr w:type="spellEnd"/>
      <w:r w:rsidRPr="005B727B">
        <w:rPr>
          <w:i/>
          <w:iCs/>
        </w:rPr>
        <w:t>.</w:t>
      </w:r>
      <w:r>
        <w:rPr>
          <w:i/>
          <w:iCs/>
        </w:rPr>
        <w:t xml:space="preserve"> </w:t>
      </w:r>
      <w:r w:rsidRPr="005B727B">
        <w:rPr>
          <w:i/>
          <w:iCs/>
        </w:rPr>
        <w:t>Dit betekent dat wij ook het volgende van onze leveranciers vragen:</w:t>
      </w:r>
    </w:p>
    <w:p w14:paraId="07F599C0" w14:textId="77777777" w:rsidR="00452929" w:rsidRDefault="00452929" w:rsidP="00452929">
      <w:pPr>
        <w:pStyle w:val="Kop3"/>
      </w:pPr>
      <w:r>
        <w:t>Wet- en regelgeving</w:t>
      </w:r>
    </w:p>
    <w:p w14:paraId="04141994" w14:textId="09F827CF" w:rsidR="00452929" w:rsidRPr="009B4E86" w:rsidRDefault="00452929" w:rsidP="00452929">
      <w:pPr>
        <w:rPr>
          <w:rFonts w:asciiTheme="majorHAnsi" w:hAnsiTheme="majorHAnsi"/>
          <w:b/>
          <w:sz w:val="24"/>
        </w:rPr>
      </w:pPr>
      <w:r w:rsidRPr="009B4E86">
        <w:t>Bij al hun activiteiten moeten leveranciers ervoor zorgen dat zij zaken doen in overeenstemming met de toepasselijke wetten, regels en voorschriften van de rechtsgebieden waarin zij actief zijn.</w:t>
      </w:r>
      <w:r>
        <w:t xml:space="preserve"> </w:t>
      </w:r>
      <w:r w:rsidRPr="009B4E86">
        <w:t>Leveranciers houden nauwkeurige financiële boeken en bedrijfsadministratie bij in overeenstemming met alle toepasselijke wetten, regels en voorschriften en accepteren boekhoudkundige praktijken.</w:t>
      </w:r>
    </w:p>
    <w:p w14:paraId="1225E5AF" w14:textId="77777777" w:rsidR="00452929" w:rsidRDefault="00452929" w:rsidP="00452929">
      <w:pPr>
        <w:pStyle w:val="Kop3"/>
      </w:pPr>
      <w:r>
        <w:t>Transparantie</w:t>
      </w:r>
    </w:p>
    <w:p w14:paraId="52E936C7" w14:textId="77777777" w:rsidR="00452929" w:rsidRDefault="00452929" w:rsidP="00452929">
      <w:r>
        <w:t>Er wordt naar gestreefd zoveel mogelijk transparantie te bieden over bedrijfsvoering. Hiertoe worden maatregelen genomen zoals regelmatige openbare publicatie, informatievoorziening en verantwoording over de inspanningen zoals genoemd in deze gedragscode. Er wordt inzicht gegeven in prestaties, criteria, standpunten en keuzes die worden gemaakt</w:t>
      </w:r>
    </w:p>
    <w:p w14:paraId="57E73FB7" w14:textId="77777777" w:rsidR="00452929" w:rsidRDefault="00452929" w:rsidP="00452929">
      <w:pPr>
        <w:pStyle w:val="Kop3"/>
      </w:pPr>
      <w:r>
        <w:t>Integriteit</w:t>
      </w:r>
    </w:p>
    <w:p w14:paraId="5D843E00" w14:textId="7964BD79" w:rsidR="00452929" w:rsidRDefault="00452929" w:rsidP="00452929">
      <w:proofErr w:type="spellStart"/>
      <w:r>
        <w:t>Axira</w:t>
      </w:r>
      <w:proofErr w:type="spellEnd"/>
      <w:r>
        <w:t xml:space="preserve"> </w:t>
      </w:r>
      <w:r w:rsidRPr="0022105E">
        <w:t>zet zich in voor het legaal en ethisch zakendoen in het kader van een systeem van vrij ondernemerschap. Corrupte afspraken (het verkrijgen of trachten te verkrijgen van persoonlijk of zakelijk voordeel door middel van ongepaste of illegale middelen) met klanten, leveranciers, overheidsfunctionarissen of andere derde partijen zijn strikt verboden. Leveranciers mogen zich niet inlaten met gedrag waardoor</w:t>
      </w:r>
      <w:r>
        <w:t xml:space="preserve"> </w:t>
      </w:r>
      <w:proofErr w:type="spellStart"/>
      <w:r>
        <w:t>Axira</w:t>
      </w:r>
      <w:proofErr w:type="spellEnd"/>
      <w:r w:rsidRPr="0022105E">
        <w:t xml:space="preserve"> het risico loopt de anti-omkopingswetten te overtreden.</w:t>
      </w:r>
    </w:p>
    <w:p w14:paraId="354B5CC5" w14:textId="77777777" w:rsidR="00452929" w:rsidRDefault="00452929" w:rsidP="00452929">
      <w:pPr>
        <w:pStyle w:val="Kop3"/>
      </w:pPr>
      <w:r>
        <w:t>Geschenken</w:t>
      </w:r>
    </w:p>
    <w:p w14:paraId="2732B215" w14:textId="6BFB3FA1" w:rsidR="00452929" w:rsidRDefault="00452929" w:rsidP="00452929">
      <w:r>
        <w:t xml:space="preserve">De aard van de geschenken mag door de kwaliteit, kwantiteit of timing ervan niet worden gebruikt door leveranciers om ongepast voordeel of voorkeursbehandeling te verkrijgen. </w:t>
      </w:r>
      <w:proofErr w:type="spellStart"/>
      <w:r>
        <w:t>Axira</w:t>
      </w:r>
      <w:proofErr w:type="spellEnd"/>
      <w:r>
        <w:t xml:space="preserve"> verwacht daarnaast dat leveranciers de juiste gegevens bijhouden over de uitwisseling van geschenken met onze medewerkers.</w:t>
      </w:r>
    </w:p>
    <w:p w14:paraId="4E823A7C" w14:textId="77777777" w:rsidR="00452929" w:rsidRPr="009A1DAC" w:rsidRDefault="00452929" w:rsidP="00452929">
      <w:pPr>
        <w:rPr>
          <w:b/>
          <w:bCs/>
          <w:u w:val="single"/>
        </w:rPr>
      </w:pPr>
      <w:r w:rsidRPr="009A1DAC">
        <w:rPr>
          <w:b/>
          <w:bCs/>
          <w:u w:val="single"/>
        </w:rPr>
        <w:t>Voor akkoord:</w:t>
      </w:r>
    </w:p>
    <w:p w14:paraId="3146DBE2" w14:textId="77777777" w:rsidR="00452929" w:rsidRDefault="00452929" w:rsidP="00452929">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240" w:line="240" w:lineRule="auto"/>
        <w:mirrorIndents/>
        <w:jc w:val="both"/>
        <w:rPr>
          <w:rFonts w:cs="Tahoma"/>
          <w:szCs w:val="20"/>
        </w:rPr>
      </w:pPr>
      <w:r>
        <w:rPr>
          <w:rFonts w:cs="Tahoma"/>
          <w:szCs w:val="20"/>
        </w:rPr>
        <w:t>Bedrijfsnaam</w:t>
      </w:r>
      <w:r w:rsidRPr="00B01958">
        <w:rPr>
          <w:rFonts w:cs="Tahoma"/>
          <w:szCs w:val="20"/>
        </w:rPr>
        <w:t xml:space="preserve">:    </w:t>
      </w:r>
      <w:r w:rsidRPr="00B01958">
        <w:rPr>
          <w:rFonts w:cs="Tahoma"/>
          <w:szCs w:val="20"/>
        </w:rPr>
        <w:tab/>
      </w:r>
      <w:r w:rsidRPr="00B01958">
        <w:rPr>
          <w:rFonts w:cs="Tahoma"/>
          <w:szCs w:val="20"/>
        </w:rPr>
        <w:tab/>
      </w:r>
      <w:r>
        <w:rPr>
          <w:rFonts w:cs="Tahoma"/>
          <w:szCs w:val="20"/>
        </w:rPr>
        <w:t>………………………………………………………..</w:t>
      </w:r>
    </w:p>
    <w:p w14:paraId="066E4DFD" w14:textId="77777777" w:rsidR="00452929" w:rsidRDefault="00452929" w:rsidP="00452929">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240" w:line="240" w:lineRule="auto"/>
        <w:mirrorIndents/>
        <w:jc w:val="both"/>
        <w:rPr>
          <w:rFonts w:cs="Tahoma"/>
          <w:szCs w:val="20"/>
        </w:rPr>
      </w:pPr>
      <w:r>
        <w:rPr>
          <w:rFonts w:cs="Tahoma"/>
          <w:szCs w:val="20"/>
        </w:rPr>
        <w:t>Naam</w:t>
      </w:r>
      <w:r w:rsidRPr="00B01958">
        <w:rPr>
          <w:rFonts w:cs="Tahoma"/>
          <w:szCs w:val="20"/>
        </w:rPr>
        <w:t>:</w:t>
      </w:r>
      <w:r>
        <w:rPr>
          <w:rFonts w:cs="Tahoma"/>
          <w:szCs w:val="20"/>
        </w:rPr>
        <w:tab/>
      </w:r>
      <w:r>
        <w:rPr>
          <w:rFonts w:cs="Tahoma"/>
          <w:szCs w:val="20"/>
        </w:rPr>
        <w:tab/>
        <w:t>………………………………………………………..</w:t>
      </w:r>
    </w:p>
    <w:p w14:paraId="50B29111" w14:textId="77777777" w:rsidR="00452929" w:rsidRPr="00B01958" w:rsidRDefault="00452929" w:rsidP="00452929">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240" w:line="240" w:lineRule="auto"/>
        <w:mirrorIndents/>
        <w:jc w:val="both"/>
        <w:rPr>
          <w:rFonts w:cs="Tahoma"/>
          <w:szCs w:val="20"/>
        </w:rPr>
      </w:pPr>
      <w:r>
        <w:rPr>
          <w:rFonts w:cs="Tahoma"/>
          <w:szCs w:val="20"/>
        </w:rPr>
        <w:t>Functie:</w:t>
      </w:r>
      <w:r w:rsidRPr="00B01958">
        <w:rPr>
          <w:rFonts w:cs="Tahoma"/>
          <w:szCs w:val="20"/>
        </w:rPr>
        <w:t xml:space="preserve">     </w:t>
      </w:r>
      <w:r w:rsidRPr="00B01958">
        <w:rPr>
          <w:rFonts w:cs="Tahoma"/>
          <w:szCs w:val="20"/>
        </w:rPr>
        <w:tab/>
      </w:r>
      <w:r w:rsidRPr="00B01958">
        <w:rPr>
          <w:rFonts w:cs="Tahoma"/>
          <w:szCs w:val="20"/>
        </w:rPr>
        <w:tab/>
      </w:r>
      <w:r>
        <w:rPr>
          <w:rFonts w:cs="Tahoma"/>
          <w:szCs w:val="20"/>
        </w:rPr>
        <w:t>………………………………………………………..</w:t>
      </w:r>
    </w:p>
    <w:p w14:paraId="6D740ED1" w14:textId="77777777" w:rsidR="00452929" w:rsidRDefault="00452929" w:rsidP="00452929">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240" w:line="240" w:lineRule="auto"/>
        <w:mirrorIndents/>
        <w:jc w:val="both"/>
        <w:rPr>
          <w:rFonts w:cs="Tahoma"/>
          <w:szCs w:val="20"/>
          <w:lang w:val="de-DE"/>
        </w:rPr>
      </w:pPr>
      <w:r w:rsidRPr="00B01958">
        <w:rPr>
          <w:rFonts w:cs="Tahoma"/>
          <w:szCs w:val="20"/>
          <w:lang w:val="de-DE"/>
        </w:rPr>
        <w:t xml:space="preserve">Datum: </w:t>
      </w:r>
      <w:r w:rsidRPr="00B01958">
        <w:rPr>
          <w:rFonts w:cs="Tahoma"/>
          <w:szCs w:val="20"/>
          <w:lang w:val="de-DE"/>
        </w:rPr>
        <w:tab/>
      </w:r>
      <w:r w:rsidRPr="00B01958">
        <w:rPr>
          <w:rFonts w:cs="Tahoma"/>
          <w:szCs w:val="20"/>
          <w:lang w:val="de-DE"/>
        </w:rPr>
        <w:tab/>
      </w:r>
      <w:r>
        <w:rPr>
          <w:rFonts w:cs="Tahoma"/>
          <w:szCs w:val="20"/>
        </w:rPr>
        <w:t>………………………………………………………..</w:t>
      </w:r>
    </w:p>
    <w:p w14:paraId="1869595F" w14:textId="77777777" w:rsidR="00452929" w:rsidRDefault="00452929" w:rsidP="00452929">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240" w:line="240" w:lineRule="auto"/>
        <w:mirrorIndents/>
        <w:jc w:val="both"/>
        <w:rPr>
          <w:rFonts w:cs="Tahoma"/>
          <w:szCs w:val="20"/>
          <w:lang w:val="de-DE"/>
        </w:rPr>
      </w:pPr>
      <w:proofErr w:type="spellStart"/>
      <w:r>
        <w:rPr>
          <w:rFonts w:cs="Tahoma"/>
          <w:szCs w:val="20"/>
          <w:lang w:val="de-DE"/>
        </w:rPr>
        <w:t>Plaats</w:t>
      </w:r>
      <w:proofErr w:type="spellEnd"/>
      <w:r>
        <w:rPr>
          <w:rFonts w:cs="Tahoma"/>
          <w:szCs w:val="20"/>
          <w:lang w:val="de-DE"/>
        </w:rPr>
        <w:t>:</w:t>
      </w:r>
      <w:r>
        <w:rPr>
          <w:rFonts w:cs="Tahoma"/>
          <w:szCs w:val="20"/>
          <w:lang w:val="de-DE"/>
        </w:rPr>
        <w:tab/>
      </w:r>
      <w:r>
        <w:rPr>
          <w:rFonts w:cs="Tahoma"/>
          <w:szCs w:val="20"/>
          <w:lang w:val="de-DE"/>
        </w:rPr>
        <w:tab/>
      </w:r>
      <w:r>
        <w:rPr>
          <w:rFonts w:cs="Tahoma"/>
          <w:szCs w:val="20"/>
        </w:rPr>
        <w:t>………………………………………………………..</w:t>
      </w:r>
    </w:p>
    <w:p w14:paraId="5B9C2814" w14:textId="77777777" w:rsidR="00452929" w:rsidRDefault="00452929" w:rsidP="00452929">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120" w:line="240" w:lineRule="auto"/>
        <w:mirrorIndents/>
        <w:jc w:val="both"/>
        <w:rPr>
          <w:rFonts w:cs="Tahoma"/>
          <w:szCs w:val="20"/>
          <w:lang w:val="de-DE"/>
        </w:rPr>
      </w:pPr>
    </w:p>
    <w:p w14:paraId="5FFFD3BB" w14:textId="164B715C" w:rsidR="00452929" w:rsidRDefault="00452929" w:rsidP="00EC1BFB">
      <w:pPr>
        <w:widowControl w:val="0"/>
        <w:tabs>
          <w:tab w:val="left" w:pos="-1109"/>
          <w:tab w:val="left" w:pos="-389"/>
          <w:tab w:val="left" w:pos="331"/>
          <w:tab w:val="left" w:pos="1483"/>
          <w:tab w:val="left" w:pos="1915"/>
          <w:tab w:val="left" w:pos="2491"/>
          <w:tab w:val="left" w:pos="3211"/>
          <w:tab w:val="left" w:pos="3931"/>
          <w:tab w:val="left" w:pos="4651"/>
          <w:tab w:val="left" w:pos="5371"/>
          <w:tab w:val="left" w:pos="5659"/>
          <w:tab w:val="left" w:pos="6091"/>
          <w:tab w:val="left" w:pos="6811"/>
          <w:tab w:val="left" w:pos="7531"/>
          <w:tab w:val="left" w:pos="8251"/>
          <w:tab w:val="left" w:pos="8971"/>
        </w:tabs>
        <w:spacing w:after="120" w:line="240" w:lineRule="auto"/>
        <w:mirrorIndents/>
        <w:jc w:val="both"/>
      </w:pPr>
      <w:proofErr w:type="spellStart"/>
      <w:r>
        <w:rPr>
          <w:rFonts w:cs="Tahoma"/>
          <w:szCs w:val="20"/>
          <w:lang w:val="de-DE"/>
        </w:rPr>
        <w:t>Handtekening</w:t>
      </w:r>
      <w:proofErr w:type="spellEnd"/>
      <w:r>
        <w:rPr>
          <w:rFonts w:cs="Tahoma"/>
          <w:szCs w:val="20"/>
          <w:lang w:val="de-DE"/>
        </w:rPr>
        <w:t>:</w:t>
      </w:r>
      <w:r>
        <w:rPr>
          <w:rFonts w:cs="Tahoma"/>
          <w:szCs w:val="20"/>
          <w:lang w:val="de-DE"/>
        </w:rPr>
        <w:tab/>
      </w:r>
      <w:r>
        <w:rPr>
          <w:rFonts w:cs="Tahoma"/>
          <w:szCs w:val="20"/>
          <w:lang w:val="de-DE"/>
        </w:rPr>
        <w:tab/>
      </w:r>
      <w:r>
        <w:rPr>
          <w:rFonts w:cs="Tahoma"/>
          <w:szCs w:val="20"/>
        </w:rPr>
        <w:t>………………………………………………………..</w:t>
      </w:r>
      <w:r w:rsidRPr="00B01958">
        <w:rPr>
          <w:rFonts w:cs="Tahoma"/>
          <w:szCs w:val="20"/>
          <w:lang w:val="de-DE"/>
        </w:rPr>
        <w:tab/>
      </w:r>
    </w:p>
    <w:sectPr w:rsidR="00452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IN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654E6"/>
    <w:multiLevelType w:val="multilevel"/>
    <w:tmpl w:val="B9C8DE72"/>
    <w:lvl w:ilvl="0">
      <w:start w:val="1"/>
      <w:numFmt w:val="none"/>
      <w:pStyle w:val="Kop1"/>
      <w:suff w:val="nothing"/>
      <w:lvlText w:val=""/>
      <w:lvlJc w:val="left"/>
      <w:pPr>
        <w:ind w:left="0" w:firstLine="0"/>
      </w:pPr>
      <w:rPr>
        <w:rFonts w:hint="default"/>
        <w:color w:val="000000" w:themeColor="text1"/>
      </w:rPr>
    </w:lvl>
    <w:lvl w:ilvl="1">
      <w:start w:val="1"/>
      <w:numFmt w:val="none"/>
      <w:lvlRestart w:val="0"/>
      <w:pStyle w:val="Kop2"/>
      <w:suff w:val="space"/>
      <w:lvlText w:val="\"/>
      <w:lvlJc w:val="left"/>
      <w:pPr>
        <w:ind w:left="0" w:firstLine="0"/>
      </w:pPr>
      <w:rPr>
        <w:rFonts w:hint="default"/>
        <w:color w:val="44546A" w:themeColor="text2"/>
      </w:rPr>
    </w:lvl>
    <w:lvl w:ilvl="2">
      <w:start w:val="1"/>
      <w:numFmt w:val="none"/>
      <w:lvlRestart w:val="0"/>
      <w:pStyle w:val="Kop3"/>
      <w:suff w:val="nothing"/>
      <w:lvlText w:val=""/>
      <w:lvlJc w:val="left"/>
      <w:pPr>
        <w:ind w:left="0" w:firstLine="0"/>
      </w:pPr>
      <w:rPr>
        <w:rFonts w:hint="default"/>
        <w:color w:val="000000" w:themeColor="text1"/>
      </w:rPr>
    </w:lvl>
    <w:lvl w:ilvl="3">
      <w:start w:val="1"/>
      <w:numFmt w:val="none"/>
      <w:lvlRestart w:val="0"/>
      <w:suff w:val="nothing"/>
      <w:lvlText w:val=""/>
      <w:lvlJc w:val="left"/>
      <w:pPr>
        <w:ind w:left="0" w:firstLine="0"/>
      </w:pPr>
      <w:rPr>
        <w:rFonts w:hint="default"/>
        <w:color w:val="000000" w:themeColor="text1"/>
      </w:rPr>
    </w:lvl>
    <w:lvl w:ilvl="4">
      <w:start w:val="1"/>
      <w:numFmt w:val="none"/>
      <w:lvlRestart w:val="0"/>
      <w:lvlText w:val=""/>
      <w:lvlJc w:val="left"/>
      <w:pPr>
        <w:ind w:left="0" w:firstLine="0"/>
      </w:pPr>
      <w:rPr>
        <w:rFonts w:hint="default"/>
        <w:color w:val="000000"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B746178"/>
    <w:multiLevelType w:val="hybridMultilevel"/>
    <w:tmpl w:val="29A8917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29"/>
    <w:rsid w:val="003728F5"/>
    <w:rsid w:val="00452929"/>
    <w:rsid w:val="004D04BD"/>
    <w:rsid w:val="00A717E8"/>
    <w:rsid w:val="00EC1BFB"/>
    <w:rsid w:val="00FA0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4381"/>
  <w15:chartTrackingRefBased/>
  <w15:docId w15:val="{7ED55677-8734-4458-AB10-4A95E005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52929"/>
    <w:pPr>
      <w:keepNext/>
      <w:numPr>
        <w:numId w:val="1"/>
      </w:numPr>
      <w:spacing w:after="600" w:line="300" w:lineRule="atLeast"/>
      <w:outlineLvl w:val="0"/>
    </w:pPr>
    <w:rPr>
      <w:rFonts w:asciiTheme="majorHAnsi" w:eastAsia="Times New Roman" w:hAnsiTheme="majorHAnsi" w:cs="Arial"/>
      <w:bCs/>
      <w:color w:val="44546A" w:themeColor="text2"/>
      <w:kern w:val="32"/>
      <w:sz w:val="64"/>
      <w:szCs w:val="32"/>
      <w:lang w:eastAsia="nl-NL"/>
    </w:rPr>
  </w:style>
  <w:style w:type="paragraph" w:styleId="Kop2">
    <w:name w:val="heading 2"/>
    <w:basedOn w:val="Standaard"/>
    <w:next w:val="Standaard"/>
    <w:link w:val="Kop2Char"/>
    <w:uiPriority w:val="9"/>
    <w:qFormat/>
    <w:rsid w:val="00452929"/>
    <w:pPr>
      <w:keepNext/>
      <w:numPr>
        <w:ilvl w:val="1"/>
        <w:numId w:val="1"/>
      </w:numPr>
      <w:spacing w:before="450" w:after="300" w:line="300" w:lineRule="atLeast"/>
      <w:outlineLvl w:val="1"/>
    </w:pPr>
    <w:rPr>
      <w:rFonts w:asciiTheme="majorHAnsi" w:eastAsia="Times New Roman" w:hAnsiTheme="majorHAnsi" w:cs="Times New Roman"/>
      <w:color w:val="44546A" w:themeColor="text2"/>
      <w:sz w:val="32"/>
      <w:szCs w:val="28"/>
      <w:lang w:eastAsia="nl-NL"/>
    </w:rPr>
  </w:style>
  <w:style w:type="paragraph" w:styleId="Kop3">
    <w:name w:val="heading 3"/>
    <w:basedOn w:val="Standaard"/>
    <w:next w:val="Standaard"/>
    <w:link w:val="Kop3Char"/>
    <w:uiPriority w:val="9"/>
    <w:qFormat/>
    <w:rsid w:val="00452929"/>
    <w:pPr>
      <w:keepNext/>
      <w:numPr>
        <w:ilvl w:val="2"/>
        <w:numId w:val="1"/>
      </w:numPr>
      <w:spacing w:before="300" w:after="0" w:line="300" w:lineRule="atLeast"/>
      <w:outlineLvl w:val="2"/>
    </w:pPr>
    <w:rPr>
      <w:rFonts w:asciiTheme="majorHAnsi" w:eastAsia="Times New Roman" w:hAnsiTheme="majorHAnsi" w:cs="Times New Roman"/>
      <w:b/>
      <w:color w:val="000000" w:themeColor="text1"/>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529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92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452929"/>
    <w:rPr>
      <w:rFonts w:asciiTheme="majorHAnsi" w:eastAsia="Times New Roman" w:hAnsiTheme="majorHAnsi" w:cs="Arial"/>
      <w:bCs/>
      <w:color w:val="44546A" w:themeColor="text2"/>
      <w:kern w:val="32"/>
      <w:sz w:val="64"/>
      <w:szCs w:val="32"/>
      <w:lang w:eastAsia="nl-NL"/>
    </w:rPr>
  </w:style>
  <w:style w:type="character" w:customStyle="1" w:styleId="Kop2Char">
    <w:name w:val="Kop 2 Char"/>
    <w:basedOn w:val="Standaardalinea-lettertype"/>
    <w:link w:val="Kop2"/>
    <w:uiPriority w:val="9"/>
    <w:rsid w:val="00452929"/>
    <w:rPr>
      <w:rFonts w:asciiTheme="majorHAnsi" w:eastAsia="Times New Roman" w:hAnsiTheme="majorHAnsi" w:cs="Times New Roman"/>
      <w:color w:val="44546A" w:themeColor="text2"/>
      <w:sz w:val="32"/>
      <w:szCs w:val="28"/>
      <w:lang w:eastAsia="nl-NL"/>
    </w:rPr>
  </w:style>
  <w:style w:type="character" w:customStyle="1" w:styleId="Kop3Char">
    <w:name w:val="Kop 3 Char"/>
    <w:basedOn w:val="Standaardalinea-lettertype"/>
    <w:link w:val="Kop3"/>
    <w:uiPriority w:val="9"/>
    <w:rsid w:val="00452929"/>
    <w:rPr>
      <w:rFonts w:asciiTheme="majorHAnsi" w:eastAsia="Times New Roman" w:hAnsiTheme="majorHAnsi" w:cs="Times New Roman"/>
      <w:b/>
      <w:color w:val="000000" w:themeColor="text1"/>
      <w:sz w:val="24"/>
      <w:lang w:eastAsia="nl-NL"/>
    </w:rPr>
  </w:style>
  <w:style w:type="paragraph" w:styleId="Lijstalinea">
    <w:name w:val="List Paragraph"/>
    <w:basedOn w:val="Standaard"/>
    <w:uiPriority w:val="99"/>
    <w:qFormat/>
    <w:rsid w:val="00452929"/>
    <w:pPr>
      <w:spacing w:after="0" w:line="300" w:lineRule="atLeast"/>
      <w:ind w:left="720"/>
      <w:contextualSpacing/>
    </w:pPr>
    <w:rPr>
      <w:rFonts w:eastAsia="Times New Roman" w:cs="Times New Roman"/>
      <w:color w:val="000000" w:themeColor="text1"/>
      <w:lang w:eastAsia="nl-NL"/>
    </w:rPr>
  </w:style>
  <w:style w:type="character" w:customStyle="1" w:styleId="A2">
    <w:name w:val="A2"/>
    <w:uiPriority w:val="99"/>
    <w:rsid w:val="00452929"/>
    <w:rPr>
      <w:rFonts w:cs="DINPro-Bold"/>
      <w:color w:val="000000"/>
      <w:sz w:val="16"/>
      <w:szCs w:val="16"/>
    </w:rPr>
  </w:style>
  <w:style w:type="paragraph" w:styleId="Geenafstand">
    <w:name w:val="No Spacing"/>
    <w:uiPriority w:val="1"/>
    <w:qFormat/>
    <w:rsid w:val="00452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E72CA-8F56-4689-8FC6-EA5B9111426A}"/>
</file>

<file path=customXml/itemProps2.xml><?xml version="1.0" encoding="utf-8"?>
<ds:datastoreItem xmlns:ds="http://schemas.openxmlformats.org/officeDocument/2006/customXml" ds:itemID="{F111FF4D-936F-474D-8178-69A75BFD98F6}"/>
</file>

<file path=customXml/itemProps3.xml><?xml version="1.0" encoding="utf-8"?>
<ds:datastoreItem xmlns:ds="http://schemas.openxmlformats.org/officeDocument/2006/customXml" ds:itemID="{B30727C0-6AA0-490C-94A5-616E28F965DC}"/>
</file>

<file path=docProps/app.xml><?xml version="1.0" encoding="utf-8"?>
<Properties xmlns="http://schemas.openxmlformats.org/officeDocument/2006/extended-properties" xmlns:vt="http://schemas.openxmlformats.org/officeDocument/2006/docPropsVTypes">
  <Template>Normal</Template>
  <TotalTime>33</TotalTime>
  <Pages>5</Pages>
  <Words>1350</Words>
  <Characters>7429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Sietse Broekema</dc:creator>
  <cp:keywords/>
  <dc:description/>
  <cp:lastModifiedBy>Bartelink, Martin</cp:lastModifiedBy>
  <cp:revision>4</cp:revision>
  <dcterms:created xsi:type="dcterms:W3CDTF">2021-11-04T09:04:00Z</dcterms:created>
  <dcterms:modified xsi:type="dcterms:W3CDTF">2021-12-22T11:08:00Z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0x0101008E517A8EC6B0334C881D0B8D01593304</vt:lpwstr>
  </property>
</Properties>
</file>