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6DC0"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rPr>
        <w:t>Afwezigheidsregels Beschermd Wonen en Beschermd Thuis</w:t>
      </w:r>
      <w:r w:rsidRPr="00FB0FBC">
        <w:rPr>
          <w:rStyle w:val="eop"/>
          <w:rFonts w:ascii="Century Gothic" w:hAnsi="Century Gothic"/>
        </w:rPr>
        <w:t> </w:t>
      </w:r>
    </w:p>
    <w:p w14:paraId="5EB35B0E"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21B90F0A"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Voor wie</w:t>
      </w:r>
      <w:r w:rsidRPr="00FB0FBC">
        <w:rPr>
          <w:rStyle w:val="eop"/>
          <w:rFonts w:ascii="Century Gothic" w:hAnsi="Century Gothic"/>
          <w:sz w:val="18"/>
          <w:szCs w:val="18"/>
        </w:rPr>
        <w:t> </w:t>
      </w:r>
    </w:p>
    <w:p w14:paraId="5382BC23"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Deze bijlage is bedoeld voor zorgaanbieders die gecontracteerd zijn om Beschermd wonen en Beschermd Thuis te bieden in de KOP4. </w:t>
      </w:r>
      <w:r w:rsidRPr="00FB0FBC">
        <w:rPr>
          <w:rStyle w:val="eop"/>
          <w:rFonts w:ascii="Century Gothic" w:hAnsi="Century Gothic"/>
          <w:sz w:val="18"/>
          <w:szCs w:val="18"/>
        </w:rPr>
        <w:t> </w:t>
      </w:r>
    </w:p>
    <w:p w14:paraId="59786BD2"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rPr>
        <w:t> </w:t>
      </w:r>
    </w:p>
    <w:p w14:paraId="7BCD40B6"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Bekostiging Beschermd Wonen/ Beschermd Thuis</w:t>
      </w:r>
      <w:r w:rsidRPr="00FB0FBC">
        <w:rPr>
          <w:rStyle w:val="eop"/>
          <w:rFonts w:ascii="Century Gothic" w:hAnsi="Century Gothic"/>
          <w:sz w:val="18"/>
          <w:szCs w:val="18"/>
        </w:rPr>
        <w:t> </w:t>
      </w:r>
    </w:p>
    <w:p w14:paraId="0C3875C4"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Voor bekostiging van Beschermd wonen moet een cliënt daadwerkelijk aanwezig zijn in de instelling. Onder bepaalde voorwaarden kan een cliënt afwezig zijn, terwijl hij of zij een plek behoudt binnen Beschermd wonen. Deze bijlage geeft een overzicht van de regels voor (het declareren van) afwezigheidsdagen in Beschermd won</w:t>
      </w:r>
      <w:r w:rsidRPr="00FB0FBC">
        <w:rPr>
          <w:rStyle w:val="normaltextrun"/>
          <w:sz w:val="21"/>
          <w:szCs w:val="21"/>
        </w:rPr>
        <w:t>en. </w:t>
      </w:r>
      <w:r w:rsidRPr="00FB0FBC">
        <w:rPr>
          <w:rStyle w:val="eop"/>
          <w:sz w:val="21"/>
          <w:szCs w:val="21"/>
        </w:rPr>
        <w:t> </w:t>
      </w:r>
    </w:p>
    <w:p w14:paraId="6D0A8630"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47CAE329"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Definitie afwezigheid </w:t>
      </w:r>
      <w:r w:rsidRPr="00FB0FBC">
        <w:rPr>
          <w:rStyle w:val="eop"/>
          <w:rFonts w:ascii="Century Gothic" w:hAnsi="Century Gothic"/>
          <w:sz w:val="18"/>
          <w:szCs w:val="18"/>
        </w:rPr>
        <w:t> </w:t>
      </w:r>
    </w:p>
    <w:p w14:paraId="4D798252"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De periode van tijdelijke afwezigheid begint op de eerste dag na vertrek bij de zorgaanbieder of bij het woonadres en eindigt op de dag vóór de terugkomst</w:t>
      </w:r>
      <w:r w:rsidRPr="00FB0FBC">
        <w:rPr>
          <w:rStyle w:val="eop"/>
          <w:rFonts w:ascii="Century Gothic" w:hAnsi="Century Gothic"/>
          <w:sz w:val="18"/>
          <w:szCs w:val="18"/>
        </w:rPr>
        <w:t> </w:t>
      </w:r>
    </w:p>
    <w:p w14:paraId="4989693E"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3797471E"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Afwezigheid melden</w:t>
      </w:r>
      <w:r w:rsidRPr="00FB0FBC">
        <w:rPr>
          <w:rStyle w:val="eop"/>
          <w:rFonts w:ascii="Century Gothic" w:hAnsi="Century Gothic"/>
          <w:sz w:val="18"/>
          <w:szCs w:val="18"/>
        </w:rPr>
        <w:t> </w:t>
      </w:r>
    </w:p>
    <w:p w14:paraId="41900A56"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Binnen 3 werkdagen wordt de afwezigheid gemeld bij de betrokken gemeente. Bij voorkeur wordt dit per email gemeld. </w:t>
      </w:r>
      <w:r w:rsidRPr="00FB0FBC">
        <w:rPr>
          <w:rStyle w:val="eop"/>
          <w:rFonts w:ascii="Century Gothic" w:hAnsi="Century Gothic"/>
          <w:sz w:val="18"/>
          <w:szCs w:val="18"/>
        </w:rPr>
        <w:t> </w:t>
      </w:r>
    </w:p>
    <w:p w14:paraId="4DE9672C"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0E27EC56"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Afwezigheid wordt vergoed in de volgende gevallen</w:t>
      </w:r>
      <w:r w:rsidRPr="00FB0FBC">
        <w:rPr>
          <w:rStyle w:val="eop"/>
          <w:rFonts w:ascii="Century Gothic" w:hAnsi="Century Gothic"/>
          <w:sz w:val="18"/>
          <w:szCs w:val="18"/>
        </w:rPr>
        <w:t> </w:t>
      </w:r>
    </w:p>
    <w:p w14:paraId="2CA2618E" w14:textId="77777777" w:rsidR="003A0F2B" w:rsidRPr="00FB0FBC" w:rsidRDefault="003A0F2B" w:rsidP="003A0F2B">
      <w:pPr>
        <w:pStyle w:val="paragraph"/>
        <w:numPr>
          <w:ilvl w:val="0"/>
          <w:numId w:val="1"/>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Bij een verblijf in een kliniek/ziekenhuis maximaal 2x 3 maanden</w:t>
      </w:r>
      <w:r w:rsidRPr="00FB0FBC">
        <w:rPr>
          <w:rStyle w:val="eop"/>
          <w:rFonts w:ascii="Century Gothic" w:hAnsi="Century Gothic"/>
          <w:sz w:val="18"/>
          <w:szCs w:val="18"/>
        </w:rPr>
        <w:t> </w:t>
      </w:r>
    </w:p>
    <w:p w14:paraId="6C8554E8" w14:textId="77777777" w:rsidR="003A0F2B" w:rsidRPr="00FB0FBC" w:rsidRDefault="003A0F2B" w:rsidP="003A0F2B">
      <w:pPr>
        <w:pStyle w:val="paragraph"/>
        <w:numPr>
          <w:ilvl w:val="0"/>
          <w:numId w:val="1"/>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Bij afwezigheid van een vakantie geldt dat er maximaal 28 dagen per jaar worden vergoed</w:t>
      </w:r>
      <w:r w:rsidRPr="00FB0FBC">
        <w:rPr>
          <w:rStyle w:val="eop"/>
          <w:rFonts w:ascii="Century Gothic" w:hAnsi="Century Gothic"/>
          <w:sz w:val="18"/>
          <w:szCs w:val="18"/>
        </w:rPr>
        <w:t> </w:t>
      </w:r>
    </w:p>
    <w:p w14:paraId="52173DB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60A6A16A"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Als de verwachting is dat de afwezigheid langer dan 3 maanden duurt, moet de gemeente binnen deze 3 maanden toestemming geven voor verlenging van het bekostigen van afwezigheid. Dit kan alleen wanneer er zicht is op herstel binnen afzienbare tijd. Dit gaat altijd in overleg met consulent van de gemeente. </w:t>
      </w:r>
      <w:r w:rsidRPr="00FB0FBC">
        <w:rPr>
          <w:rStyle w:val="eop"/>
          <w:rFonts w:ascii="Century Gothic" w:hAnsi="Century Gothic"/>
          <w:sz w:val="18"/>
          <w:szCs w:val="18"/>
        </w:rPr>
        <w:t> </w:t>
      </w:r>
    </w:p>
    <w:p w14:paraId="738B51D8"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42CFD2B7"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Voorwaarden bovenstaande</w:t>
      </w:r>
      <w:r w:rsidRPr="00FB0FBC">
        <w:rPr>
          <w:rStyle w:val="eop"/>
          <w:rFonts w:ascii="Century Gothic" w:hAnsi="Century Gothic"/>
          <w:sz w:val="18"/>
          <w:szCs w:val="18"/>
        </w:rPr>
        <w:t> </w:t>
      </w:r>
    </w:p>
    <w:p w14:paraId="39D38B13" w14:textId="77777777" w:rsidR="003A0F2B" w:rsidRPr="00FB0FBC" w:rsidRDefault="003A0F2B" w:rsidP="003A0F2B">
      <w:pPr>
        <w:pStyle w:val="paragraph"/>
        <w:numPr>
          <w:ilvl w:val="0"/>
          <w:numId w:val="2"/>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De client moet op dat moment minimaal 14 dagen op het adres van de instelling hebben verbleven.</w:t>
      </w:r>
      <w:r w:rsidRPr="00FB0FBC">
        <w:rPr>
          <w:rStyle w:val="eop"/>
          <w:rFonts w:ascii="Century Gothic" w:hAnsi="Century Gothic"/>
          <w:sz w:val="18"/>
          <w:szCs w:val="18"/>
        </w:rPr>
        <w:t> </w:t>
      </w:r>
    </w:p>
    <w:p w14:paraId="038B3485" w14:textId="77777777" w:rsidR="003A0F2B" w:rsidRPr="00FB0FBC" w:rsidRDefault="003A0F2B" w:rsidP="003A0F2B">
      <w:pPr>
        <w:pStyle w:val="paragraph"/>
        <w:numPr>
          <w:ilvl w:val="0"/>
          <w:numId w:val="2"/>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Vakantiedagen kunnen in één keer opgemaakt worden of verspreid over verschillende weken. Weekenddagen tellen mee in de telling.  Op het moment dat de afwezigheid langer dan 28 dagen duurt, moet de gemeente hier vooraf toestemming voor geven als het gaat om de bekostiging van de afwezigheid. </w:t>
      </w:r>
      <w:r w:rsidRPr="00FB0FBC">
        <w:rPr>
          <w:rStyle w:val="eop"/>
          <w:rFonts w:ascii="Century Gothic" w:hAnsi="Century Gothic"/>
          <w:sz w:val="18"/>
          <w:szCs w:val="18"/>
        </w:rPr>
        <w:t> </w:t>
      </w:r>
    </w:p>
    <w:p w14:paraId="0E6A72EA"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24C72F03"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08633BD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Bekostiging bij schorsing</w:t>
      </w:r>
      <w:r w:rsidRPr="00FB0FBC">
        <w:rPr>
          <w:rStyle w:val="eop"/>
          <w:rFonts w:ascii="Century Gothic" w:hAnsi="Century Gothic"/>
          <w:sz w:val="18"/>
          <w:szCs w:val="18"/>
        </w:rPr>
        <w:t> </w:t>
      </w:r>
    </w:p>
    <w:p w14:paraId="61FA7D77"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Het bed van de client wordt maximaal 14 aaneengesloten dagen per keer en maximaal 42 dagen per kalender jaar doorbetaald bij een schorsing. </w:t>
      </w:r>
      <w:r w:rsidRPr="00FB0FBC">
        <w:rPr>
          <w:rStyle w:val="eop"/>
          <w:rFonts w:ascii="Century Gothic" w:hAnsi="Century Gothic"/>
          <w:sz w:val="18"/>
          <w:szCs w:val="18"/>
        </w:rPr>
        <w:t> </w:t>
      </w:r>
    </w:p>
    <w:p w14:paraId="61AC357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268B0984"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3EF8E226"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Bekostiging bij detentie</w:t>
      </w:r>
      <w:r w:rsidRPr="00FB0FBC">
        <w:rPr>
          <w:rStyle w:val="eop"/>
          <w:rFonts w:ascii="Century Gothic" w:hAnsi="Century Gothic"/>
          <w:sz w:val="18"/>
          <w:szCs w:val="18"/>
        </w:rPr>
        <w:t> </w:t>
      </w:r>
    </w:p>
    <w:p w14:paraId="6D08936F"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Er wordt maximaal één maand doorbetaald bij detentie. </w:t>
      </w:r>
      <w:r w:rsidRPr="00FB0FBC">
        <w:rPr>
          <w:rStyle w:val="eop"/>
          <w:rFonts w:ascii="Century Gothic" w:hAnsi="Century Gothic"/>
          <w:sz w:val="18"/>
          <w:szCs w:val="18"/>
        </w:rPr>
        <w:t> </w:t>
      </w:r>
    </w:p>
    <w:p w14:paraId="7D0CFC09"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762DE91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Voorwaarden bovenstaande</w:t>
      </w:r>
      <w:r w:rsidRPr="00FB0FBC">
        <w:rPr>
          <w:rStyle w:val="eop"/>
          <w:rFonts w:ascii="Century Gothic" w:hAnsi="Century Gothic"/>
          <w:sz w:val="18"/>
          <w:szCs w:val="18"/>
        </w:rPr>
        <w:t> </w:t>
      </w:r>
    </w:p>
    <w:p w14:paraId="5A531E7F" w14:textId="77777777" w:rsidR="003A0F2B" w:rsidRPr="00FB0FBC" w:rsidRDefault="003A0F2B" w:rsidP="003A0F2B">
      <w:pPr>
        <w:pStyle w:val="paragraph"/>
        <w:numPr>
          <w:ilvl w:val="0"/>
          <w:numId w:val="3"/>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De gemeente wordt altijd ingelicht bij detentie of schorsing</w:t>
      </w:r>
      <w:r w:rsidRPr="00FB0FBC">
        <w:rPr>
          <w:rStyle w:val="eop"/>
          <w:rFonts w:ascii="Century Gothic" w:hAnsi="Century Gothic"/>
          <w:sz w:val="18"/>
          <w:szCs w:val="18"/>
        </w:rPr>
        <w:t> </w:t>
      </w:r>
    </w:p>
    <w:p w14:paraId="41C5C893" w14:textId="77777777" w:rsidR="003A0F2B" w:rsidRPr="00FB0FBC" w:rsidRDefault="003A0F2B" w:rsidP="003A0F2B">
      <w:pPr>
        <w:pStyle w:val="paragraph"/>
        <w:numPr>
          <w:ilvl w:val="0"/>
          <w:numId w:val="3"/>
        </w:numPr>
        <w:spacing w:before="0" w:beforeAutospacing="0" w:after="0" w:afterAutospacing="0"/>
        <w:ind w:left="1080" w:firstLine="0"/>
        <w:textAlignment w:val="baseline"/>
        <w:rPr>
          <w:rFonts w:ascii="Century Gothic" w:hAnsi="Century Gothic"/>
          <w:sz w:val="18"/>
          <w:szCs w:val="18"/>
        </w:rPr>
      </w:pPr>
      <w:r w:rsidRPr="00FB0FBC">
        <w:rPr>
          <w:rStyle w:val="normaltextrun"/>
          <w:rFonts w:ascii="Century Gothic" w:hAnsi="Century Gothic"/>
          <w:sz w:val="18"/>
          <w:szCs w:val="18"/>
        </w:rPr>
        <w:t>Weekenddagen tellen mee in de telling</w:t>
      </w:r>
      <w:r w:rsidRPr="00FB0FBC">
        <w:rPr>
          <w:rStyle w:val="eop"/>
          <w:rFonts w:ascii="Century Gothic" w:hAnsi="Century Gothic"/>
          <w:sz w:val="18"/>
          <w:szCs w:val="18"/>
        </w:rPr>
        <w:t> </w:t>
      </w:r>
    </w:p>
    <w:p w14:paraId="5BAC9275"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067B714B"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eop"/>
          <w:rFonts w:ascii="Century Gothic" w:hAnsi="Century Gothic"/>
          <w:sz w:val="18"/>
          <w:szCs w:val="18"/>
        </w:rPr>
        <w:t> </w:t>
      </w:r>
    </w:p>
    <w:p w14:paraId="48B5F51B"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b/>
          <w:bCs/>
          <w:sz w:val="18"/>
          <w:szCs w:val="18"/>
        </w:rPr>
        <w:t>Financiering </w:t>
      </w:r>
      <w:r w:rsidRPr="00FB0FBC">
        <w:rPr>
          <w:rStyle w:val="eop"/>
          <w:rFonts w:ascii="Century Gothic" w:hAnsi="Century Gothic"/>
          <w:sz w:val="18"/>
          <w:szCs w:val="18"/>
        </w:rPr>
        <w:t> </w:t>
      </w:r>
    </w:p>
    <w:p w14:paraId="0788E2C1" w14:textId="77777777" w:rsidR="003A0F2B" w:rsidRPr="00FB0FBC" w:rsidRDefault="003A0F2B" w:rsidP="003A0F2B">
      <w:pPr>
        <w:pStyle w:val="paragraph"/>
        <w:spacing w:before="0" w:beforeAutospacing="0" w:after="0" w:afterAutospacing="0"/>
        <w:textAlignment w:val="baseline"/>
        <w:rPr>
          <w:rFonts w:ascii="Segoe UI" w:hAnsi="Segoe UI" w:cs="Segoe UI"/>
          <w:sz w:val="18"/>
          <w:szCs w:val="18"/>
        </w:rPr>
      </w:pPr>
      <w:r w:rsidRPr="00FB0FBC">
        <w:rPr>
          <w:rStyle w:val="normaltextrun"/>
          <w:rFonts w:ascii="Century Gothic" w:hAnsi="Century Gothic"/>
          <w:sz w:val="18"/>
          <w:szCs w:val="18"/>
        </w:rPr>
        <w:t>De financiële vergoeding in bovenstaande gevallen is 100%. De gemeente behoudt zich het recht voor de indicatie bij te stellen naar een Beschermd Wonen/ Beschermd Thuis vergoeding, exclusief dagbesteding.  </w:t>
      </w:r>
      <w:r w:rsidRPr="00FB0FBC">
        <w:rPr>
          <w:rStyle w:val="eop"/>
          <w:rFonts w:ascii="Century Gothic" w:hAnsi="Century Gothic"/>
          <w:sz w:val="18"/>
          <w:szCs w:val="18"/>
        </w:rPr>
        <w:t> </w:t>
      </w:r>
    </w:p>
    <w:p w14:paraId="1DF34B30" w14:textId="77777777" w:rsidR="00876D5B" w:rsidRPr="00FB0FBC" w:rsidRDefault="00876D5B"/>
    <w:sectPr w:rsidR="00876D5B" w:rsidRPr="00FB0FB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AC47" w14:textId="77777777" w:rsidR="00964751" w:rsidRDefault="00964751" w:rsidP="006A4E75">
      <w:r>
        <w:separator/>
      </w:r>
    </w:p>
  </w:endnote>
  <w:endnote w:type="continuationSeparator" w:id="0">
    <w:p w14:paraId="7AA54920" w14:textId="77777777" w:rsidR="00964751" w:rsidRDefault="00964751" w:rsidP="006A4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2ACC" w14:textId="77777777" w:rsidR="00964751" w:rsidRDefault="00964751" w:rsidP="006A4E75">
      <w:r>
        <w:separator/>
      </w:r>
    </w:p>
  </w:footnote>
  <w:footnote w:type="continuationSeparator" w:id="0">
    <w:p w14:paraId="00B8B050" w14:textId="77777777" w:rsidR="00964751" w:rsidRDefault="00964751" w:rsidP="006A4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0F69" w14:textId="36938C70" w:rsidR="006A4E75" w:rsidRDefault="006A4E75">
    <w:pPr>
      <w:pStyle w:val="Koptekst"/>
    </w:pPr>
    <w:r>
      <w:rPr>
        <w:noProof/>
        <w:lang w:eastAsia="nl-NL"/>
      </w:rPr>
      <w:drawing>
        <wp:anchor distT="0" distB="0" distL="114300" distR="114300" simplePos="0" relativeHeight="251659264" behindDoc="1" locked="0" layoutInCell="1" allowOverlap="1" wp14:anchorId="557F6A98" wp14:editId="2C248895">
          <wp:simplePos x="0" y="0"/>
          <wp:positionH relativeFrom="margin">
            <wp:align>center</wp:align>
          </wp:positionH>
          <wp:positionV relativeFrom="topMargin">
            <wp:align>bottom</wp:align>
          </wp:positionV>
          <wp:extent cx="2027146" cy="687600"/>
          <wp:effectExtent l="0" t="0" r="0" b="0"/>
          <wp:wrapNone/>
          <wp:docPr id="1016233102" name="Afbeelding 101623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33102" name="Afbeelding 1016233102"/>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8281E"/>
    <w:multiLevelType w:val="multilevel"/>
    <w:tmpl w:val="85AEF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04277E"/>
    <w:multiLevelType w:val="multilevel"/>
    <w:tmpl w:val="7B3E6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142A65"/>
    <w:multiLevelType w:val="multilevel"/>
    <w:tmpl w:val="2DB02C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95949523">
    <w:abstractNumId w:val="2"/>
  </w:num>
  <w:num w:numId="2" w16cid:durableId="1637225148">
    <w:abstractNumId w:val="0"/>
  </w:num>
  <w:num w:numId="3" w16cid:durableId="755399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2B"/>
    <w:rsid w:val="00091E54"/>
    <w:rsid w:val="00095966"/>
    <w:rsid w:val="003A0F2B"/>
    <w:rsid w:val="006A4E75"/>
    <w:rsid w:val="00876D5B"/>
    <w:rsid w:val="00964751"/>
    <w:rsid w:val="00AE5A2C"/>
    <w:rsid w:val="00EF6165"/>
    <w:rsid w:val="00FB0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6E2B"/>
  <w15:chartTrackingRefBased/>
  <w15:docId w15:val="{14617629-D8C6-4294-B836-B7198B32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F2B"/>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A0F2B"/>
    <w:rPr>
      <w:color w:val="0563C1"/>
      <w:u w:val="single"/>
    </w:rPr>
  </w:style>
  <w:style w:type="paragraph" w:customStyle="1" w:styleId="paragraph">
    <w:name w:val="paragraph"/>
    <w:basedOn w:val="Standaard"/>
    <w:rsid w:val="003A0F2B"/>
    <w:pPr>
      <w:spacing w:before="100" w:beforeAutospacing="1" w:after="100" w:afterAutospacing="1"/>
    </w:pPr>
    <w:rPr>
      <w:lang w:eastAsia="nl-NL"/>
      <w14:ligatures w14:val="none"/>
    </w:rPr>
  </w:style>
  <w:style w:type="character" w:customStyle="1" w:styleId="normaltextrun">
    <w:name w:val="normaltextrun"/>
    <w:basedOn w:val="Standaardalinea-lettertype"/>
    <w:rsid w:val="003A0F2B"/>
  </w:style>
  <w:style w:type="character" w:customStyle="1" w:styleId="eop">
    <w:name w:val="eop"/>
    <w:basedOn w:val="Standaardalinea-lettertype"/>
    <w:rsid w:val="003A0F2B"/>
  </w:style>
  <w:style w:type="paragraph" w:styleId="Koptekst">
    <w:name w:val="header"/>
    <w:basedOn w:val="Standaard"/>
    <w:link w:val="KoptekstChar"/>
    <w:uiPriority w:val="99"/>
    <w:unhideWhenUsed/>
    <w:rsid w:val="006A4E75"/>
    <w:pPr>
      <w:tabs>
        <w:tab w:val="center" w:pos="4536"/>
        <w:tab w:val="right" w:pos="9072"/>
      </w:tabs>
    </w:pPr>
  </w:style>
  <w:style w:type="character" w:customStyle="1" w:styleId="KoptekstChar">
    <w:name w:val="Koptekst Char"/>
    <w:basedOn w:val="Standaardalinea-lettertype"/>
    <w:link w:val="Koptekst"/>
    <w:uiPriority w:val="99"/>
    <w:rsid w:val="006A4E75"/>
    <w:rPr>
      <w:rFonts w:ascii="Calibri" w:hAnsi="Calibri" w:cs="Calibri"/>
      <w:kern w:val="0"/>
    </w:rPr>
  </w:style>
  <w:style w:type="paragraph" w:styleId="Voettekst">
    <w:name w:val="footer"/>
    <w:basedOn w:val="Standaard"/>
    <w:link w:val="VoettekstChar"/>
    <w:uiPriority w:val="99"/>
    <w:unhideWhenUsed/>
    <w:rsid w:val="006A4E75"/>
    <w:pPr>
      <w:tabs>
        <w:tab w:val="center" w:pos="4536"/>
        <w:tab w:val="right" w:pos="9072"/>
      </w:tabs>
    </w:pPr>
  </w:style>
  <w:style w:type="character" w:customStyle="1" w:styleId="VoettekstChar">
    <w:name w:val="Voettekst Char"/>
    <w:basedOn w:val="Standaardalinea-lettertype"/>
    <w:link w:val="Voettekst"/>
    <w:uiPriority w:val="99"/>
    <w:rsid w:val="006A4E75"/>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99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atum_x0020_Verzonden xmlns="5717d259-d152-48e5-84f8-f49ff581c316" xsi:nil="true"/>
  </documentManagement>
</p:properties>
</file>

<file path=customXml/itemProps1.xml><?xml version="1.0" encoding="utf-8"?>
<ds:datastoreItem xmlns:ds="http://schemas.openxmlformats.org/officeDocument/2006/customXml" ds:itemID="{9E36B675-B46D-40A7-9E41-E43DB8A7ACC4}">
  <ds:schemaRefs>
    <ds:schemaRef ds:uri="http://schemas.microsoft.com/sharepoint/v3/contenttype/forms"/>
  </ds:schemaRefs>
</ds:datastoreItem>
</file>

<file path=customXml/itemProps2.xml><?xml version="1.0" encoding="utf-8"?>
<ds:datastoreItem xmlns:ds="http://schemas.openxmlformats.org/officeDocument/2006/customXml" ds:itemID="{68E0B4BD-34BF-4B24-8124-FB30A4404924}">
  <ds:schemaRefs>
    <ds:schemaRef ds:uri="Microsoft.SharePoint.Taxonomy.ContentTypeSync"/>
  </ds:schemaRefs>
</ds:datastoreItem>
</file>

<file path=customXml/itemProps3.xml><?xml version="1.0" encoding="utf-8"?>
<ds:datastoreItem xmlns:ds="http://schemas.openxmlformats.org/officeDocument/2006/customXml" ds:itemID="{B26B480A-C039-46CB-8998-AE0231183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469B33-24CA-4B38-8D93-18D2BAF4D4B5}">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2071</Characters>
  <Application>Microsoft Office Word</Application>
  <DocSecurity>0</DocSecurity>
  <Lines>17</Lines>
  <Paragraphs>4</Paragraphs>
  <ScaleCrop>false</ScaleCrop>
  <Company>Gemeente Den Helder</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Zita Smink</cp:lastModifiedBy>
  <cp:revision>2</cp:revision>
  <dcterms:created xsi:type="dcterms:W3CDTF">2025-01-28T15:35:00Z</dcterms:created>
  <dcterms:modified xsi:type="dcterms:W3CDTF">2025-01-28T15:35:00Z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