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4C88" w:rsidP="2DC67C8F" w:rsidRDefault="007F30D4" w14:paraId="4C24C1FD" w14:textId="14BA225B">
      <w:pPr>
        <w:rPr>
          <w:rFonts w:ascii="Calibri" w:hAnsi="Calibri" w:eastAsia="Calibri" w:cs="Calibri"/>
        </w:rPr>
      </w:pPr>
      <w:r w:rsidRPr="5DE57DEB" w:rsidR="007F30D4">
        <w:rPr>
          <w:rFonts w:ascii="Calibri" w:hAnsi="Calibri" w:eastAsia="Calibri" w:cs="Calibri"/>
        </w:rPr>
        <w:t xml:space="preserve">BIJLAGE </w:t>
      </w:r>
      <w:r w:rsidRPr="5DE57DEB" w:rsidR="21D3A25E">
        <w:rPr>
          <w:rFonts w:ascii="Calibri" w:hAnsi="Calibri" w:eastAsia="Calibri" w:cs="Calibri"/>
        </w:rPr>
        <w:t>L</w:t>
      </w:r>
      <w:r w:rsidRPr="5DE57DEB" w:rsidR="007F30D4">
        <w:rPr>
          <w:rFonts w:ascii="Calibri" w:hAnsi="Calibri" w:eastAsia="Calibri" w:cs="Calibri"/>
        </w:rPr>
        <w:t xml:space="preserve">, </w:t>
      </w:r>
      <w:r w:rsidRPr="5DE57DEB" w:rsidR="00C46B9D">
        <w:rPr>
          <w:rFonts w:ascii="Calibri" w:hAnsi="Calibri" w:eastAsia="Calibri" w:cs="Calibri"/>
        </w:rPr>
        <w:t xml:space="preserve">Demo </w:t>
      </w:r>
      <w:r w:rsidRPr="5DE57DEB" w:rsidR="00C46B9D">
        <w:rPr>
          <w:rFonts w:ascii="Calibri" w:hAnsi="Calibri" w:eastAsia="Calibri" w:cs="Calibri"/>
        </w:rPr>
        <w:t>tbv</w:t>
      </w:r>
      <w:r w:rsidRPr="5DE57DEB" w:rsidR="00C46B9D">
        <w:rPr>
          <w:rFonts w:ascii="Calibri" w:hAnsi="Calibri" w:eastAsia="Calibri" w:cs="Calibri"/>
        </w:rPr>
        <w:t xml:space="preserve"> v</w:t>
      </w:r>
      <w:r w:rsidRPr="5DE57DEB" w:rsidR="00DA2B35">
        <w:rPr>
          <w:rFonts w:ascii="Calibri" w:hAnsi="Calibri" w:eastAsia="Calibri" w:cs="Calibri"/>
        </w:rPr>
        <w:t>erificatie</w:t>
      </w:r>
    </w:p>
    <w:p w:rsidR="004621C6" w:rsidP="2DC67C8F" w:rsidRDefault="00253452" w14:paraId="5348E22C" w14:textId="5CDDEB7E">
      <w:pPr>
        <w:spacing w:line="300" w:lineRule="atLeast"/>
        <w:rPr>
          <w:rFonts w:ascii="Calibri" w:hAnsi="Calibri" w:eastAsia="Calibri" w:cs="Calibri"/>
        </w:rPr>
      </w:pPr>
      <w:r w:rsidRPr="2DC67C8F">
        <w:rPr>
          <w:rFonts w:ascii="Calibri" w:hAnsi="Calibri" w:eastAsia="Calibri" w:cs="Calibri"/>
        </w:rPr>
        <w:t xml:space="preserve">Tijdens </w:t>
      </w:r>
      <w:r w:rsidR="00C46B9D">
        <w:rPr>
          <w:rFonts w:ascii="Calibri" w:hAnsi="Calibri" w:eastAsia="Calibri" w:cs="Calibri"/>
        </w:rPr>
        <w:t>het</w:t>
      </w:r>
      <w:r w:rsidRPr="2DC67C8F">
        <w:rPr>
          <w:rFonts w:ascii="Calibri" w:hAnsi="Calibri" w:eastAsia="Calibri" w:cs="Calibri"/>
        </w:rPr>
        <w:t xml:space="preserve"> verificatiegesprek dient de winnende inschrijver een demonstratie te geven van de Matchingmodule, waarin getoond wordt hoe een werkzoekende naar werk wordt begeleid</w:t>
      </w:r>
      <w:r w:rsidRPr="2DC67C8F" w:rsidR="03828161">
        <w:rPr>
          <w:rFonts w:ascii="Calibri" w:hAnsi="Calibri" w:eastAsia="Calibri" w:cs="Calibri"/>
        </w:rPr>
        <w:t xml:space="preserve"> </w:t>
      </w:r>
      <w:r w:rsidRPr="2DC67C8F">
        <w:rPr>
          <w:rFonts w:ascii="Calibri" w:hAnsi="Calibri" w:eastAsia="Calibri" w:cs="Calibri"/>
        </w:rPr>
        <w:t>en hoe een werkgever geholpen wordt met het vervullen van vacatures</w:t>
      </w:r>
      <w:r w:rsidRPr="2DC67C8F" w:rsidR="00A67831">
        <w:rPr>
          <w:rFonts w:ascii="Calibri" w:hAnsi="Calibri" w:eastAsia="Calibri" w:cs="Calibri"/>
        </w:rPr>
        <w:t>.</w:t>
      </w:r>
      <w:r w:rsidRPr="2DC67C8F">
        <w:rPr>
          <w:rFonts w:ascii="Calibri" w:hAnsi="Calibri" w:eastAsia="Calibri" w:cs="Calibri"/>
        </w:rPr>
        <w:t xml:space="preserve"> </w:t>
      </w:r>
    </w:p>
    <w:p w:rsidR="00DA2B35" w:rsidP="2DC67C8F" w:rsidRDefault="33FFF196" w14:paraId="2C30B539" w14:textId="35BDD2E6">
      <w:pPr>
        <w:rPr>
          <w:rFonts w:ascii="Calibri" w:hAnsi="Calibri" w:eastAsia="Calibri" w:cs="Calibri"/>
        </w:rPr>
      </w:pPr>
      <w:r w:rsidRPr="2DC67C8F">
        <w:rPr>
          <w:rFonts w:ascii="Calibri" w:hAnsi="Calibri" w:eastAsia="Calibri" w:cs="Calibri"/>
        </w:rPr>
        <w:t>In de demonstratie wil opdrachtgever minimaal de volgende eisen</w:t>
      </w:r>
      <w:r w:rsidR="00673FEB">
        <w:rPr>
          <w:rFonts w:ascii="Calibri" w:hAnsi="Calibri" w:eastAsia="Calibri" w:cs="Calibri"/>
        </w:rPr>
        <w:t>,</w:t>
      </w:r>
      <w:r w:rsidR="006E72B2">
        <w:rPr>
          <w:rFonts w:ascii="Calibri" w:hAnsi="Calibri" w:eastAsia="Calibri" w:cs="Calibri"/>
        </w:rPr>
        <w:t xml:space="preserve"> </w:t>
      </w:r>
      <w:r w:rsidR="00673FEB">
        <w:rPr>
          <w:rFonts w:ascii="Calibri" w:hAnsi="Calibri" w:eastAsia="Calibri" w:cs="Calibri"/>
        </w:rPr>
        <w:t>die in het programma van eisen aan de Matchingmodule worden gesteld,</w:t>
      </w:r>
      <w:r w:rsidRPr="2DC67C8F">
        <w:rPr>
          <w:rFonts w:ascii="Calibri" w:hAnsi="Calibri" w:eastAsia="Calibri" w:cs="Calibri"/>
        </w:rPr>
        <w:t xml:space="preserve"> verifi</w:t>
      </w:r>
      <w:r w:rsidRPr="2DC67C8F" w:rsidR="2ABD156D">
        <w:rPr>
          <w:rFonts w:ascii="Calibri" w:hAnsi="Calibri" w:eastAsia="Calibri" w:cs="Calibri"/>
        </w:rPr>
        <w:t>ë</w:t>
      </w:r>
      <w:r w:rsidRPr="2DC67C8F">
        <w:rPr>
          <w:rFonts w:ascii="Calibri" w:hAnsi="Calibri" w:eastAsia="Calibri" w:cs="Calibri"/>
        </w:rPr>
        <w:t>ren:</w:t>
      </w: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62"/>
      </w:tblGrid>
      <w:tr w:rsidR="006E72B2" w:rsidTr="45536FC0" w14:paraId="5B31482A" w14:textId="77777777">
        <w:tc>
          <w:tcPr>
            <w:tcW w:w="9062" w:type="dxa"/>
          </w:tcPr>
          <w:p w:rsidRPr="00673FEB" w:rsidR="006E72B2" w:rsidP="00673FEB" w:rsidRDefault="006E72B2" w14:paraId="60168676" w14:textId="442C280C">
            <w:pPr>
              <w:pStyle w:val="Lijstalinea"/>
              <w:numPr>
                <w:ilvl w:val="0"/>
                <w:numId w:val="3"/>
              </w:numPr>
              <w:rPr>
                <w:rFonts w:ascii="Calibri" w:hAnsi="Calibri" w:eastAsia="Calibri" w:cs="Calibri"/>
              </w:rPr>
            </w:pPr>
            <w:r w:rsidRPr="00673FEB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t xml:space="preserve">De </w:t>
            </w:r>
            <w:r w:rsidR="00E15E86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t>ICT-prestatie</w:t>
            </w:r>
            <w:r w:rsidRPr="00673FEB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t xml:space="preserve"> geeft inzicht in werkzoekende die zijn toegevoegd als </w:t>
            </w:r>
            <w:proofErr w:type="spellStart"/>
            <w:r w:rsidRPr="00673FEB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t>werkfit</w:t>
            </w:r>
            <w:proofErr w:type="spellEnd"/>
            <w:r w:rsidRPr="00673FEB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t xml:space="preserve"> en klaar voor bemiddeling, maar nog niet gekoppeld aan de werkvoorraad van een </w:t>
            </w:r>
            <w:proofErr w:type="spellStart"/>
            <w:r w:rsidRPr="00673FEB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t>matcher</w:t>
            </w:r>
            <w:proofErr w:type="spellEnd"/>
            <w:r w:rsidRPr="00673FEB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t>.</w:t>
            </w:r>
            <w:r w:rsidRPr="00673FEB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br/>
            </w:r>
          </w:p>
        </w:tc>
      </w:tr>
      <w:tr w:rsidR="006E72B2" w:rsidTr="45536FC0" w14:paraId="7CFD8282" w14:textId="77777777">
        <w:tc>
          <w:tcPr>
            <w:tcW w:w="9062" w:type="dxa"/>
          </w:tcPr>
          <w:p w:rsidRPr="00673FEB" w:rsidR="006E72B2" w:rsidP="00673FEB" w:rsidRDefault="006E72B2" w14:paraId="0CAA514C" w14:textId="6D0935D7">
            <w:pPr>
              <w:pStyle w:val="Lijstalinea"/>
              <w:numPr>
                <w:ilvl w:val="0"/>
                <w:numId w:val="3"/>
              </w:numPr>
              <w:rPr>
                <w:rFonts w:ascii="Calibri" w:hAnsi="Calibri" w:eastAsia="Calibri" w:cs="Calibri"/>
              </w:rPr>
            </w:pPr>
            <w:r w:rsidRPr="00673FEB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t xml:space="preserve">De </w:t>
            </w:r>
            <w:r w:rsidRPr="00E15E86" w:rsidR="00E15E86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t>ICT-prestatie</w:t>
            </w:r>
            <w:r w:rsidRPr="00673FEB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t xml:space="preserve"> bevat functionaliteit om meerdere accountmanagers UWV/ WSP te koppelen aan een werkgever.</w:t>
            </w:r>
            <w:r w:rsidRPr="00673FEB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br/>
            </w:r>
          </w:p>
        </w:tc>
      </w:tr>
      <w:tr w:rsidR="006E72B2" w:rsidTr="45536FC0" w14:paraId="1208D085" w14:textId="77777777">
        <w:tc>
          <w:tcPr>
            <w:tcW w:w="9062" w:type="dxa"/>
          </w:tcPr>
          <w:p w:rsidRPr="00673FEB" w:rsidR="006E72B2" w:rsidP="00673FEB" w:rsidRDefault="00E15E86" w14:paraId="2484B462" w14:textId="15635F03">
            <w:pPr>
              <w:pStyle w:val="Lijstalinea"/>
              <w:numPr>
                <w:ilvl w:val="0"/>
                <w:numId w:val="3"/>
              </w:num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t xml:space="preserve">De </w:t>
            </w:r>
            <w:r w:rsidRPr="00E15E86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t xml:space="preserve">ICT-prestatie </w:t>
            </w:r>
            <w:r w:rsidRPr="00673FEB" w:rsidR="006E72B2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t xml:space="preserve">bewaakt dat juist, tijdig en volledig wordt geregistreerd (middels </w:t>
            </w:r>
            <w:proofErr w:type="spellStart"/>
            <w:r w:rsidRPr="00673FEB" w:rsidR="006E72B2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t>validaties</w:t>
            </w:r>
            <w:proofErr w:type="spellEnd"/>
            <w:r w:rsidRPr="00673FEB" w:rsidR="006E72B2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t>).</w:t>
            </w:r>
            <w:r w:rsidRPr="00673FEB" w:rsidR="006E72B2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br/>
            </w:r>
          </w:p>
        </w:tc>
      </w:tr>
      <w:tr w:rsidR="006E72B2" w:rsidTr="45536FC0" w14:paraId="2C46BDCD" w14:textId="77777777">
        <w:tc>
          <w:tcPr>
            <w:tcW w:w="9062" w:type="dxa"/>
          </w:tcPr>
          <w:p w:rsidRPr="00673FEB" w:rsidR="006E72B2" w:rsidP="00673FEB" w:rsidRDefault="006E72B2" w14:paraId="77344BA4" w14:textId="2040AAC4">
            <w:pPr>
              <w:pStyle w:val="Lijstalinea"/>
              <w:numPr>
                <w:ilvl w:val="0"/>
                <w:numId w:val="3"/>
              </w:numPr>
              <w:rPr>
                <w:rFonts w:ascii="Calibri" w:hAnsi="Calibri" w:eastAsia="Calibri" w:cs="Calibri"/>
              </w:rPr>
            </w:pPr>
            <w:r w:rsidRPr="00673FEB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t xml:space="preserve">De </w:t>
            </w:r>
            <w:r w:rsidRPr="00E15E86" w:rsidR="00E15E86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t>ICT-prestatie</w:t>
            </w:r>
            <w:r w:rsidRPr="00673FEB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t xml:space="preserve"> dient functionaliteit te bevatten, zodat de gemeente(n) dagelijks alle in de </w:t>
            </w:r>
            <w:r w:rsidRPr="00A06143" w:rsidR="00A06143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t xml:space="preserve">ICT-prestatie </w:t>
            </w:r>
            <w:r w:rsidRPr="00673FEB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t>applicatie geregistreerde gegevens zelf kan downloaden t.b.v. het vervaardigen van managementinformatie m.b.v. de eigen datawarehouse- en rapportagetools van de gemeenten.</w:t>
            </w:r>
            <w:r w:rsidRPr="00673FEB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br/>
            </w:r>
          </w:p>
        </w:tc>
      </w:tr>
      <w:tr w:rsidR="006E72B2" w:rsidTr="45536FC0" w14:paraId="7144C263" w14:textId="77777777">
        <w:tc>
          <w:tcPr>
            <w:tcW w:w="9062" w:type="dxa"/>
          </w:tcPr>
          <w:p w:rsidRPr="00673FEB" w:rsidR="006E72B2" w:rsidP="00673FEB" w:rsidRDefault="006E72B2" w14:paraId="30EC389E" w14:textId="6D8B8C3C">
            <w:pPr>
              <w:pStyle w:val="Lijstalinea"/>
              <w:numPr>
                <w:ilvl w:val="0"/>
                <w:numId w:val="3"/>
              </w:numPr>
              <w:rPr>
                <w:rFonts w:ascii="Calibri" w:hAnsi="Calibri" w:eastAsia="Calibri" w:cs="Calibri"/>
              </w:rPr>
            </w:pPr>
            <w:r w:rsidRPr="00673FEB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t>Werkzoekendegegevens moeten tweezijdig uitgewisseld kunnen worden met de vier applicaties Werk &amp; Inkomen van de uitvoeringsorganisaties binnen de arbeidsmarktregio (minimaal dagelijks).</w:t>
            </w:r>
            <w:r w:rsidRPr="00673FEB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br/>
            </w:r>
          </w:p>
        </w:tc>
      </w:tr>
      <w:tr w:rsidR="006E72B2" w:rsidTr="45536FC0" w14:paraId="05559CF1" w14:textId="77777777">
        <w:tc>
          <w:tcPr>
            <w:tcW w:w="9062" w:type="dxa"/>
          </w:tcPr>
          <w:p w:rsidRPr="00673FEB" w:rsidR="006E72B2" w:rsidP="00673FEB" w:rsidRDefault="006E72B2" w14:paraId="75E24A9F" w14:textId="6BE3EF47">
            <w:pPr>
              <w:pStyle w:val="Lijstalinea"/>
              <w:numPr>
                <w:ilvl w:val="0"/>
                <w:numId w:val="3"/>
              </w:numPr>
              <w:rPr>
                <w:rFonts w:ascii="Calibri" w:hAnsi="Calibri" w:eastAsia="Calibri" w:cs="Calibri"/>
              </w:rPr>
            </w:pPr>
            <w:r w:rsidRPr="00673FEB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t xml:space="preserve">De </w:t>
            </w:r>
            <w:r w:rsidRPr="00E15E86" w:rsidR="00E15E86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t>ICT-prestatie</w:t>
            </w:r>
            <w:r w:rsidRPr="00673FEB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t xml:space="preserve"> bevat functionaliteit waarmee de gemeente kan bepalen wanneer werkzoekendegegevens en/of een vacatures gedeeld worden met het WSP voor regionale aanpak.  De gemeente behoudt te allen tijde de mogelijkheid om binnen de eigen omgeving werkzoekenden te bemiddelen en te plaatsen.</w:t>
            </w:r>
            <w:r w:rsidRPr="00673FEB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br/>
            </w:r>
          </w:p>
        </w:tc>
      </w:tr>
      <w:tr w:rsidR="006E72B2" w:rsidTr="45536FC0" w14:paraId="15ADE770" w14:textId="77777777">
        <w:tc>
          <w:tcPr>
            <w:tcW w:w="9062" w:type="dxa"/>
          </w:tcPr>
          <w:p w:rsidRPr="00673FEB" w:rsidR="006E72B2" w:rsidP="00673FEB" w:rsidRDefault="006E72B2" w14:paraId="4AAACE01" w14:textId="225F5AF9">
            <w:pPr>
              <w:pStyle w:val="Lijstalinea"/>
              <w:numPr>
                <w:ilvl w:val="0"/>
                <w:numId w:val="3"/>
              </w:numPr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</w:pPr>
            <w:r w:rsidRPr="00673FEB">
              <w:rPr>
                <w:rFonts w:ascii="Calibri" w:hAnsi="Calibri" w:eastAsia="Calibri" w:cs="Calibri"/>
              </w:rPr>
              <w:t xml:space="preserve">De </w:t>
            </w:r>
            <w:r w:rsidRPr="00E15E86" w:rsidR="00E15E86">
              <w:rPr>
                <w:rFonts w:ascii="Calibri" w:hAnsi="Calibri" w:eastAsia="Calibri" w:cs="Calibri"/>
              </w:rPr>
              <w:t>ICT-prestatie</w:t>
            </w:r>
            <w:r w:rsidRPr="00673FEB">
              <w:rPr>
                <w:rFonts w:ascii="Calibri" w:hAnsi="Calibri" w:eastAsia="Calibri" w:cs="Calibri"/>
              </w:rPr>
              <w:t xml:space="preserve"> bevat functionaliteit om aan vacatures en werkzoekenden kenmerken (door de gemeente te definiëren) toe te kennen (naast de reeds in de applicatie aanwezige kenmerken), waarmee zoekopdrachten gefilterd kunnen worden.</w:t>
            </w:r>
            <w:r w:rsidRPr="00673FEB">
              <w:rPr>
                <w:rFonts w:ascii="Calibri" w:hAnsi="Calibri" w:eastAsia="Calibri" w:cs="Calibri"/>
              </w:rPr>
              <w:br/>
            </w:r>
          </w:p>
        </w:tc>
      </w:tr>
      <w:tr w:rsidR="006E72B2" w:rsidTr="45536FC0" w14:paraId="42FB26B2" w14:textId="77777777">
        <w:tc>
          <w:tcPr>
            <w:tcW w:w="9062" w:type="dxa"/>
          </w:tcPr>
          <w:p w:rsidRPr="00673FEB" w:rsidR="006E72B2" w:rsidP="00673FEB" w:rsidRDefault="006E72B2" w14:paraId="67EB2519" w14:textId="3F31D6C0">
            <w:pPr>
              <w:pStyle w:val="Lijstalinea"/>
              <w:numPr>
                <w:ilvl w:val="0"/>
                <w:numId w:val="3"/>
              </w:numPr>
              <w:rPr>
                <w:rFonts w:ascii="Calibri" w:hAnsi="Calibri" w:eastAsia="Calibri" w:cs="Calibri"/>
              </w:rPr>
            </w:pPr>
            <w:r w:rsidRPr="00673FEB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t xml:space="preserve">De </w:t>
            </w:r>
            <w:r w:rsidRPr="00E15E86" w:rsidR="00E15E86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t>ICT-prestatie</w:t>
            </w:r>
            <w:r w:rsidRPr="00673FEB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t xml:space="preserve"> bevat functionaliteit om de status van de vacature te registreren.</w:t>
            </w:r>
            <w:r w:rsidRPr="00673FEB">
              <w:rPr>
                <w:rFonts w:ascii="Calibri" w:hAnsi="Calibri" w:eastAsia="Calibri" w:cs="Calibri"/>
                <w:color w:val="000000"/>
                <w:kern w:val="0"/>
                <w:lang w:eastAsia="nl-NL"/>
                <w14:ligatures w14:val="none"/>
              </w:rPr>
              <w:br/>
            </w:r>
          </w:p>
        </w:tc>
      </w:tr>
    </w:tbl>
    <w:p w:rsidR="00DA2B35" w:rsidP="2DC67C8F" w:rsidRDefault="00DA2B35" w14:paraId="4FB59384" w14:textId="77777777">
      <w:pPr>
        <w:rPr>
          <w:rFonts w:ascii="Calibri" w:hAnsi="Calibri" w:eastAsia="Calibri" w:cs="Calibri"/>
        </w:rPr>
      </w:pPr>
    </w:p>
    <w:sectPr w:rsidR="00DA2B3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7EF0"/>
    <w:multiLevelType w:val="hybridMultilevel"/>
    <w:tmpl w:val="2738055E"/>
    <w:lvl w:ilvl="0" w:tplc="4F6404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66" w:hanging="360"/>
      </w:pPr>
    </w:lvl>
    <w:lvl w:ilvl="2" w:tplc="FFFFFFFF" w:tentative="1">
      <w:start w:val="1"/>
      <w:numFmt w:val="lowerRoman"/>
      <w:lvlText w:val="%3."/>
      <w:lvlJc w:val="right"/>
      <w:pPr>
        <w:ind w:left="1386" w:hanging="180"/>
      </w:pPr>
    </w:lvl>
    <w:lvl w:ilvl="3" w:tplc="FFFFFFFF" w:tentative="1">
      <w:start w:val="1"/>
      <w:numFmt w:val="decimal"/>
      <w:lvlText w:val="%4."/>
      <w:lvlJc w:val="left"/>
      <w:pPr>
        <w:ind w:left="2106" w:hanging="360"/>
      </w:pPr>
    </w:lvl>
    <w:lvl w:ilvl="4" w:tplc="FFFFFFFF" w:tentative="1">
      <w:start w:val="1"/>
      <w:numFmt w:val="lowerLetter"/>
      <w:lvlText w:val="%5."/>
      <w:lvlJc w:val="left"/>
      <w:pPr>
        <w:ind w:left="2826" w:hanging="360"/>
      </w:pPr>
    </w:lvl>
    <w:lvl w:ilvl="5" w:tplc="FFFFFFFF" w:tentative="1">
      <w:start w:val="1"/>
      <w:numFmt w:val="lowerRoman"/>
      <w:lvlText w:val="%6."/>
      <w:lvlJc w:val="right"/>
      <w:pPr>
        <w:ind w:left="3546" w:hanging="180"/>
      </w:pPr>
    </w:lvl>
    <w:lvl w:ilvl="6" w:tplc="FFFFFFFF" w:tentative="1">
      <w:start w:val="1"/>
      <w:numFmt w:val="decimal"/>
      <w:lvlText w:val="%7."/>
      <w:lvlJc w:val="left"/>
      <w:pPr>
        <w:ind w:left="4266" w:hanging="360"/>
      </w:pPr>
    </w:lvl>
    <w:lvl w:ilvl="7" w:tplc="FFFFFFFF" w:tentative="1">
      <w:start w:val="1"/>
      <w:numFmt w:val="lowerLetter"/>
      <w:lvlText w:val="%8."/>
      <w:lvlJc w:val="left"/>
      <w:pPr>
        <w:ind w:left="4986" w:hanging="360"/>
      </w:pPr>
    </w:lvl>
    <w:lvl w:ilvl="8" w:tplc="FFFFFFFF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1" w15:restartNumberingAfterBreak="0">
    <w:nsid w:val="387A5DAB"/>
    <w:multiLevelType w:val="hybridMultilevel"/>
    <w:tmpl w:val="8FB242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D28C7"/>
    <w:multiLevelType w:val="hybridMultilevel"/>
    <w:tmpl w:val="17686150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423113851">
    <w:abstractNumId w:val="0"/>
  </w:num>
  <w:num w:numId="2" w16cid:durableId="680088452">
    <w:abstractNumId w:val="1"/>
  </w:num>
  <w:num w:numId="3" w16cid:durableId="288828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35"/>
    <w:rsid w:val="0001548E"/>
    <w:rsid w:val="00133172"/>
    <w:rsid w:val="00253452"/>
    <w:rsid w:val="003438E5"/>
    <w:rsid w:val="003825A9"/>
    <w:rsid w:val="004621C6"/>
    <w:rsid w:val="004B0A4A"/>
    <w:rsid w:val="004E2E5E"/>
    <w:rsid w:val="005B447D"/>
    <w:rsid w:val="006519F9"/>
    <w:rsid w:val="00664C88"/>
    <w:rsid w:val="00673FEB"/>
    <w:rsid w:val="006E72B2"/>
    <w:rsid w:val="00747354"/>
    <w:rsid w:val="00765EF9"/>
    <w:rsid w:val="007F30D4"/>
    <w:rsid w:val="008947F2"/>
    <w:rsid w:val="008A0BB1"/>
    <w:rsid w:val="009E2BB8"/>
    <w:rsid w:val="00A06143"/>
    <w:rsid w:val="00A67831"/>
    <w:rsid w:val="00A82623"/>
    <w:rsid w:val="00AD7553"/>
    <w:rsid w:val="00AF337C"/>
    <w:rsid w:val="00B05A02"/>
    <w:rsid w:val="00B63688"/>
    <w:rsid w:val="00BC15EC"/>
    <w:rsid w:val="00C27A24"/>
    <w:rsid w:val="00C363D8"/>
    <w:rsid w:val="00C46B9D"/>
    <w:rsid w:val="00D40D3A"/>
    <w:rsid w:val="00DA2B35"/>
    <w:rsid w:val="00E15E86"/>
    <w:rsid w:val="00E24CBA"/>
    <w:rsid w:val="00E34E35"/>
    <w:rsid w:val="00F47B95"/>
    <w:rsid w:val="00FE16D6"/>
    <w:rsid w:val="03828161"/>
    <w:rsid w:val="21D3A25E"/>
    <w:rsid w:val="2ABD156D"/>
    <w:rsid w:val="2DC67C8F"/>
    <w:rsid w:val="33FFF196"/>
    <w:rsid w:val="45536FC0"/>
    <w:rsid w:val="4D3EA023"/>
    <w:rsid w:val="5DE57DEB"/>
    <w:rsid w:val="64F2D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422C"/>
  <w15:chartTrackingRefBased/>
  <w15:docId w15:val="{4BA3DEC1-666E-4557-A7E7-8C6FCCEB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A2B3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A2B3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A2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2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2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2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2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2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2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DA2B3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DA2B3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DA2B3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DA2B35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DA2B35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DA2B35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DA2B35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DA2B35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DA2B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2B3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DA2B3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2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DA2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2B35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DA2B35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DA2B3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A2B3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2B3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DA2B3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2B35"/>
    <w:rPr>
      <w:b/>
      <w:bCs/>
      <w:smallCaps/>
      <w:color w:val="0F4761" w:themeColor="accent1" w:themeShade="BF"/>
      <w:spacing w:val="5"/>
    </w:rPr>
  </w:style>
  <w:style w:type="character" w:styleId="LijstalineaChar" w:customStyle="1">
    <w:name w:val="Lijstalinea Char"/>
    <w:basedOn w:val="Standaardalinea-lettertype"/>
    <w:link w:val="Lijstalinea"/>
    <w:uiPriority w:val="34"/>
    <w:rsid w:val="00DA2B35"/>
  </w:style>
  <w:style w:type="table" w:styleId="Tabelraster">
    <w:name w:val="Table Grid"/>
    <w:basedOn w:val="Standaardtabel"/>
    <w:uiPriority w:val="39"/>
    <w:rsid w:val="006E72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e">
    <w:name w:val="Revision"/>
    <w:hidden/>
    <w:uiPriority w:val="99"/>
    <w:semiHidden/>
    <w:rsid w:val="00D40D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1d731-8d82-4025-94ac-f81355cd7152">
      <Terms xmlns="http://schemas.microsoft.com/office/infopath/2007/PartnerControls"/>
    </lcf76f155ced4ddcb4097134ff3c332f>
    <TaxCatchAll xmlns="746fbf30-322b-40ed-bd2b-2342a9dc1d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4" ma:contentTypeDescription="Een nieuw document maken." ma:contentTypeScope="" ma:versionID="e9f2e0ac1b9e77371160c03f7e70c4a5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12d038d04744ce11198c2d2cb4955115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2C381-3F75-4AB4-96D4-7E38E72A4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1B967-366E-4874-8ACA-931D37F9E690}">
  <ds:schemaRefs>
    <ds:schemaRef ds:uri="http://schemas.microsoft.com/office/2006/documentManagement/types"/>
    <ds:schemaRef ds:uri="ef8516e5-3151-4c89-8cb4-b79b02976e50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416d2fa8-94cd-472b-be58-f555ac5236d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0BB10D-54C5-4F53-8398-9B1AEA6DD5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Korwa</dc:creator>
  <cp:keywords/>
  <dc:description/>
  <cp:lastModifiedBy>Elmo Voeten</cp:lastModifiedBy>
  <cp:revision>23</cp:revision>
  <dcterms:created xsi:type="dcterms:W3CDTF">2025-04-08T21:54:00Z</dcterms:created>
  <dcterms:modified xsi:type="dcterms:W3CDTF">2025-04-15T13:10:47Z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0x0101002F387A182EA97443B90A2BDFFA16B9B8</vt:lpwstr>
  </property>
  <property fmtid="{D5CDD505-2E9C-101B-9397-08002B2CF9AE}" pid="3" name="MediaServiceImageTags">
    <vt:lpwstr/>
  </property>
  <property fmtid="{D5CDD505-2E9C-101B-9397-08002B2CF9AE}" pid="4" name="MSIP_Label_36385424-4abe-4cf8-8898-c76487689253_Enabled">
    <vt:lpwstr>true</vt:lpwstr>
  </property>
  <property fmtid="{D5CDD505-2E9C-101B-9397-08002B2CF9AE}" pid="5" name="MSIP_Label_36385424-4abe-4cf8-8898-c76487689253_SetDate">
    <vt:lpwstr>2025-04-08T12:54:20Z</vt:lpwstr>
  </property>
  <property fmtid="{D5CDD505-2E9C-101B-9397-08002B2CF9AE}" pid="6" name="MSIP_Label_36385424-4abe-4cf8-8898-c76487689253_Method">
    <vt:lpwstr>Standard</vt:lpwstr>
  </property>
  <property fmtid="{D5CDD505-2E9C-101B-9397-08002B2CF9AE}" pid="7" name="MSIP_Label_36385424-4abe-4cf8-8898-c76487689253_Name">
    <vt:lpwstr>Bedrijfsvertrouwelijk</vt:lpwstr>
  </property>
  <property fmtid="{D5CDD505-2E9C-101B-9397-08002B2CF9AE}" pid="8" name="MSIP_Label_36385424-4abe-4cf8-8898-c76487689253_SiteId">
    <vt:lpwstr>d9cef3d2-0eb3-4504-b431-80c617bfc930</vt:lpwstr>
  </property>
  <property fmtid="{D5CDD505-2E9C-101B-9397-08002B2CF9AE}" pid="9" name="MSIP_Label_36385424-4abe-4cf8-8898-c76487689253_ActionId">
    <vt:lpwstr>72f698a4-2691-4156-9c03-5af2b6fc443d</vt:lpwstr>
  </property>
  <property fmtid="{D5CDD505-2E9C-101B-9397-08002B2CF9AE}" pid="10" name="MSIP_Label_36385424-4abe-4cf8-8898-c76487689253_ContentBits">
    <vt:lpwstr>0</vt:lpwstr>
  </property>
  <property fmtid="{D5CDD505-2E9C-101B-9397-08002B2CF9AE}" pid="11" name="MSIP_Label_36385424-4abe-4cf8-8898-c76487689253_Tag">
    <vt:lpwstr>10, 3, 0, 2</vt:lpwstr>
  </property>
  <property fmtid="{D5CDD505-2E9C-101B-9397-08002B2CF9AE}" pid="12" name="Order">
    <vt:r8>26400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