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14:paraId="379FC582" w14:textId="77777777">
        <w:trPr>
          <w:cantSplit/>
          <w:trHeight w:hRule="exact" w:val="1134"/>
        </w:trPr>
        <w:tc>
          <w:tcPr>
            <w:tcW w:w="1048" w:type="dxa"/>
          </w:tcPr>
          <w:p w14:paraId="379FC580" w14:textId="77777777" w:rsidR="004E6656" w:rsidRDefault="004E6656">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379FC581" w14:textId="77777777" w:rsidR="004E6656" w:rsidRDefault="004E6656">
            <w:pPr>
              <w:pStyle w:val="dpTitle"/>
              <w:jc w:val="left"/>
              <w:rPr>
                <w:b w:val="0"/>
                <w:sz w:val="16"/>
                <w:szCs w:val="24"/>
                <w:lang w:val="en-GB"/>
              </w:rPr>
            </w:pPr>
          </w:p>
        </w:tc>
      </w:tr>
      <w:tr w:rsidR="004E6656" w14:paraId="379FC587" w14:textId="77777777">
        <w:trPr>
          <w:cantSplit/>
          <w:trHeight w:val="1134"/>
        </w:trPr>
        <w:tc>
          <w:tcPr>
            <w:tcW w:w="7860" w:type="dxa"/>
            <w:gridSpan w:val="2"/>
          </w:tcPr>
          <w:p w14:paraId="379FC583" w14:textId="5A4FE563" w:rsidR="004E6656" w:rsidRDefault="004E6656" w:rsidP="004E6656">
            <w:pPr>
              <w:pStyle w:val="dpTitle"/>
              <w:rPr>
                <w:lang w:val="nl-NL"/>
              </w:rPr>
            </w:pPr>
            <w:bookmarkStart w:id="2" w:name="txtTitle"/>
            <w:bookmarkEnd w:id="2"/>
            <w:r w:rsidRPr="00753802">
              <w:rPr>
                <w:lang w:val="nl-NL"/>
              </w:rPr>
              <w:t xml:space="preserve">Bijlage </w:t>
            </w:r>
            <w:r w:rsidR="004C4D7F">
              <w:rPr>
                <w:lang w:val="nl-NL"/>
              </w:rPr>
              <w:t xml:space="preserve">A </w:t>
            </w:r>
            <w:r w:rsidRPr="00193445">
              <w:rPr>
                <w:lang w:val="nl-NL"/>
              </w:rPr>
              <w:t>Checklist</w:t>
            </w:r>
          </w:p>
          <w:p w14:paraId="379FC584" w14:textId="503EA231" w:rsidR="004E6656" w:rsidRPr="00193445" w:rsidRDefault="004C4D7F" w:rsidP="004E6656">
            <w:pPr>
              <w:pStyle w:val="dpTitle"/>
              <w:rPr>
                <w:lang w:val="nl-NL"/>
              </w:rPr>
            </w:pPr>
            <w:r>
              <w:rPr>
                <w:lang w:val="nl-NL"/>
              </w:rPr>
              <w:t>Inschrijving</w:t>
            </w:r>
          </w:p>
          <w:p w14:paraId="379FC585" w14:textId="77777777" w:rsidR="004E6656" w:rsidRDefault="004E6656" w:rsidP="004E6656">
            <w:pPr>
              <w:pStyle w:val="dpTitle"/>
              <w:rPr>
                <w:lang w:val="nl-NL"/>
              </w:rPr>
            </w:pPr>
            <w:r w:rsidRPr="00753802">
              <w:rPr>
                <w:lang w:val="nl-NL"/>
              </w:rPr>
              <w:t>openbare Europese aanbesteding</w:t>
            </w:r>
          </w:p>
          <w:p w14:paraId="28625441" w14:textId="77777777" w:rsidR="00B00282" w:rsidRPr="00753802" w:rsidRDefault="00B00282" w:rsidP="004E6656">
            <w:pPr>
              <w:pStyle w:val="dpTitle"/>
              <w:rPr>
                <w:lang w:val="nl-NL"/>
              </w:rPr>
            </w:pPr>
          </w:p>
          <w:p w14:paraId="379FC586" w14:textId="1ACB512C" w:rsidR="004E6656" w:rsidRPr="004E6656" w:rsidRDefault="00B70522" w:rsidP="004E6656">
            <w:pPr>
              <w:pStyle w:val="dpTitle"/>
              <w:rPr>
                <w:lang w:val="nl-NL"/>
              </w:rPr>
            </w:pPr>
            <w:r w:rsidRPr="00B70522">
              <w:rPr>
                <w:lang w:val="nl-NL"/>
              </w:rPr>
              <w:t xml:space="preserve">“Externe inhuur- en adviesdiensten </w:t>
            </w:r>
            <w:r w:rsidR="00912A5E">
              <w:rPr>
                <w:lang w:val="nl-NL"/>
              </w:rPr>
              <w:t>Communicatie</w:t>
            </w:r>
            <w:r w:rsidRPr="00B70522">
              <w:rPr>
                <w:lang w:val="nl-NL"/>
              </w:rPr>
              <w:t>”</w:t>
            </w:r>
          </w:p>
        </w:tc>
      </w:tr>
      <w:tr w:rsidR="004E6656" w14:paraId="379FC589" w14:textId="77777777">
        <w:trPr>
          <w:cantSplit/>
        </w:trPr>
        <w:tc>
          <w:tcPr>
            <w:tcW w:w="7860" w:type="dxa"/>
            <w:gridSpan w:val="2"/>
          </w:tcPr>
          <w:p w14:paraId="379FC588" w14:textId="77777777" w:rsidR="004E6656" w:rsidRPr="004E6656" w:rsidRDefault="004E6656" w:rsidP="004E6656">
            <w:pPr>
              <w:pStyle w:val="dpSubTitle"/>
              <w:rPr>
                <w:lang w:val="nl-NL"/>
              </w:rPr>
            </w:pPr>
            <w:bookmarkStart w:id="3" w:name="txtSubTitle"/>
            <w:bookmarkEnd w:id="3"/>
          </w:p>
        </w:tc>
      </w:tr>
    </w:tbl>
    <w:p w14:paraId="379FC58F" w14:textId="77777777" w:rsidR="004E6656" w:rsidRDefault="004E6656">
      <w:pPr>
        <w:framePr w:w="7751" w:h="1079" w:hSpace="142" w:wrap="around" w:vAnchor="page" w:hAnchor="page" w:x="2287" w:y="13874" w:anchorLock="1"/>
        <w:spacing w:line="40" w:lineRule="atLeast"/>
        <w:rPr>
          <w:sz w:val="2"/>
          <w:szCs w:val="2"/>
        </w:rPr>
      </w:pPr>
    </w:p>
    <w:p w14:paraId="379FC590" w14:textId="77777777" w:rsidR="004E6656" w:rsidRDefault="004E6656">
      <w:pPr>
        <w:rPr>
          <w:lang w:val="en-US"/>
        </w:rPr>
      </w:pPr>
    </w:p>
    <w:p w14:paraId="379FC591" w14:textId="77777777" w:rsidR="004E6656" w:rsidRDefault="004E6656">
      <w:pPr>
        <w:rPr>
          <w:lang w:val="en-US"/>
        </w:rPr>
      </w:pPr>
    </w:p>
    <w:p w14:paraId="379FC593" w14:textId="7FACFCBD" w:rsidR="004E6656" w:rsidRDefault="004E6656" w:rsidP="004C4D7F">
      <w:pPr>
        <w:ind w:left="-1134"/>
        <w:rPr>
          <w:b/>
          <w:bCs/>
        </w:rPr>
      </w:pPr>
      <w:r>
        <w:rPr>
          <w:lang w:val="en-US"/>
        </w:rPr>
        <w:br w:type="page"/>
      </w:r>
      <w:bookmarkEnd w:id="1"/>
      <w:r>
        <w:rPr>
          <w:b/>
          <w:bCs/>
        </w:rPr>
        <w:lastRenderedPageBreak/>
        <w:tab/>
      </w:r>
    </w:p>
    <w:p w14:paraId="5E656B13" w14:textId="77777777" w:rsidR="000E145C" w:rsidRDefault="000E145C" w:rsidP="004C4D7F">
      <w:pPr>
        <w:ind w:left="-1134"/>
        <w:rPr>
          <w:b/>
          <w:sz w:val="24"/>
        </w:rPr>
      </w:pPr>
    </w:p>
    <w:p w14:paraId="379FC5FC" w14:textId="77777777" w:rsidR="004E6656" w:rsidRDefault="004E6656" w:rsidP="004E6656">
      <w:pPr>
        <w:spacing w:line="240" w:lineRule="auto"/>
        <w:rPr>
          <w:b/>
          <w:sz w:val="24"/>
        </w:rPr>
      </w:pPr>
    </w:p>
    <w:p w14:paraId="379FC5FD" w14:textId="14F39EE7" w:rsidR="00E01AAC" w:rsidRDefault="00E01AAC">
      <w:pPr>
        <w:rPr>
          <w:b/>
          <w:bCs/>
        </w:rPr>
      </w:pPr>
    </w:p>
    <w:tbl>
      <w:tblPr>
        <w:tblW w:w="43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9"/>
        <w:gridCol w:w="1291"/>
        <w:gridCol w:w="1568"/>
      </w:tblGrid>
      <w:tr w:rsidR="000E145C" w:rsidRPr="006F2DDA" w14:paraId="53BBAA14" w14:textId="77777777" w:rsidTr="00DB1876">
        <w:trPr>
          <w:trHeight w:val="736"/>
        </w:trPr>
        <w:tc>
          <w:tcPr>
            <w:tcW w:w="2916" w:type="pct"/>
            <w:shd w:val="clear" w:color="auto" w:fill="ED7D31" w:themeFill="accent2"/>
          </w:tcPr>
          <w:p w14:paraId="5BD75376" w14:textId="77777777" w:rsidR="000E145C" w:rsidRPr="006F2DDA" w:rsidRDefault="000E145C" w:rsidP="00DB1876">
            <w:pPr>
              <w:pStyle w:val="Plattetekst"/>
              <w:snapToGrid w:val="0"/>
              <w:spacing w:line="240" w:lineRule="auto"/>
              <w:rPr>
                <w:b/>
                <w:szCs w:val="22"/>
              </w:rPr>
            </w:pPr>
            <w:r w:rsidRPr="006F2DDA">
              <w:rPr>
                <w:b/>
                <w:szCs w:val="22"/>
              </w:rPr>
              <w:t>Onderwerp</w:t>
            </w:r>
          </w:p>
        </w:tc>
        <w:tc>
          <w:tcPr>
            <w:tcW w:w="941" w:type="pct"/>
            <w:shd w:val="clear" w:color="auto" w:fill="ED7D31" w:themeFill="accent2"/>
          </w:tcPr>
          <w:p w14:paraId="6EA9BB64" w14:textId="77777777" w:rsidR="000E145C" w:rsidRPr="006F2DDA" w:rsidRDefault="000E145C" w:rsidP="00DB1876">
            <w:pPr>
              <w:pStyle w:val="Plattetekst"/>
              <w:snapToGrid w:val="0"/>
              <w:spacing w:line="240" w:lineRule="auto"/>
              <w:jc w:val="center"/>
              <w:rPr>
                <w:b/>
                <w:szCs w:val="22"/>
              </w:rPr>
            </w:pPr>
            <w:r w:rsidRPr="006F2DDA">
              <w:rPr>
                <w:b/>
                <w:szCs w:val="22"/>
              </w:rPr>
              <w:t xml:space="preserve">Indienen bij </w:t>
            </w:r>
            <w:r>
              <w:rPr>
                <w:b/>
                <w:szCs w:val="22"/>
              </w:rPr>
              <w:t>I</w:t>
            </w:r>
            <w:r w:rsidRPr="006F2DDA">
              <w:rPr>
                <w:b/>
                <w:szCs w:val="22"/>
              </w:rPr>
              <w:t>nschrijving</w:t>
            </w:r>
          </w:p>
        </w:tc>
        <w:tc>
          <w:tcPr>
            <w:tcW w:w="1143" w:type="pct"/>
            <w:shd w:val="clear" w:color="auto" w:fill="ED7D31" w:themeFill="accent2"/>
          </w:tcPr>
          <w:p w14:paraId="0086F041" w14:textId="77777777" w:rsidR="000E145C" w:rsidRPr="006F2DDA" w:rsidRDefault="000E145C" w:rsidP="00DB1876">
            <w:pPr>
              <w:pStyle w:val="Plattetekst"/>
              <w:snapToGrid w:val="0"/>
              <w:spacing w:line="240" w:lineRule="auto"/>
              <w:jc w:val="center"/>
              <w:rPr>
                <w:b/>
                <w:szCs w:val="22"/>
              </w:rPr>
            </w:pPr>
            <w:r w:rsidRPr="006F2DDA">
              <w:rPr>
                <w:b/>
                <w:szCs w:val="22"/>
              </w:rPr>
              <w:t>Indienen na voornemen tot gunning</w:t>
            </w:r>
          </w:p>
        </w:tc>
      </w:tr>
      <w:tr w:rsidR="000E145C" w:rsidRPr="006F2DDA" w14:paraId="698D270A" w14:textId="77777777" w:rsidTr="00DB1876">
        <w:trPr>
          <w:trHeight w:val="300"/>
        </w:trPr>
        <w:tc>
          <w:tcPr>
            <w:tcW w:w="2916" w:type="pct"/>
          </w:tcPr>
          <w:p w14:paraId="6178B182" w14:textId="77777777" w:rsidR="000E145C" w:rsidRPr="006F2DDA" w:rsidRDefault="000E145C" w:rsidP="00DB1876">
            <w:pPr>
              <w:rPr>
                <w:b/>
                <w:bCs/>
                <w:szCs w:val="22"/>
              </w:rPr>
            </w:pPr>
            <w:r w:rsidRPr="006F2DDA">
              <w:rPr>
                <w:b/>
                <w:bCs/>
                <w:szCs w:val="22"/>
              </w:rPr>
              <w:t>Volmacht rechtsgeldig vertegenwoordiger (indien van toepassing):</w:t>
            </w:r>
          </w:p>
          <w:p w14:paraId="6E3EB146" w14:textId="77777777" w:rsidR="000E145C" w:rsidRPr="006F2DDA" w:rsidRDefault="000E145C" w:rsidP="00DB1876">
            <w:pPr>
              <w:rPr>
                <w:b/>
                <w:szCs w:val="22"/>
              </w:rPr>
            </w:pPr>
            <w:r w:rsidRPr="006F2DDA">
              <w:rPr>
                <w:szCs w:val="22"/>
              </w:rPr>
              <w:t>Inschrijver dient een ‘Volmacht rechtsgeldig vertegenwoordiger’ in te dienen indien de persoon die tekent namens Inschrijver, dan wel namens het samenwerkingsverband, dan wel lid van het samenwerkingsverband, niet tekenbevoegd is conform het handelsregister.</w:t>
            </w:r>
          </w:p>
        </w:tc>
        <w:tc>
          <w:tcPr>
            <w:tcW w:w="941" w:type="pct"/>
          </w:tcPr>
          <w:p w14:paraId="7623BD97" w14:textId="77777777" w:rsidR="000E145C" w:rsidRPr="006F2DDA" w:rsidRDefault="000E145C" w:rsidP="00DB1876">
            <w:pPr>
              <w:jc w:val="center"/>
              <w:rPr>
                <w:b/>
                <w:bCs/>
                <w:szCs w:val="22"/>
              </w:rPr>
            </w:pPr>
            <w:r w:rsidRPr="006F2DDA">
              <w:rPr>
                <w:b/>
                <w:bCs/>
                <w:szCs w:val="22"/>
              </w:rPr>
              <w:t>X</w:t>
            </w:r>
          </w:p>
        </w:tc>
        <w:tc>
          <w:tcPr>
            <w:tcW w:w="1143" w:type="pct"/>
          </w:tcPr>
          <w:p w14:paraId="542D511A" w14:textId="77777777" w:rsidR="000E145C" w:rsidRPr="006F2DDA" w:rsidRDefault="000E145C" w:rsidP="00DB1876">
            <w:pPr>
              <w:jc w:val="center"/>
              <w:rPr>
                <w:b/>
                <w:bCs/>
                <w:szCs w:val="22"/>
              </w:rPr>
            </w:pPr>
          </w:p>
        </w:tc>
      </w:tr>
      <w:tr w:rsidR="000E145C" w:rsidRPr="006F2DDA" w14:paraId="62660DC6" w14:textId="77777777" w:rsidTr="00DB1876">
        <w:trPr>
          <w:trHeight w:val="300"/>
        </w:trPr>
        <w:tc>
          <w:tcPr>
            <w:tcW w:w="2916" w:type="pct"/>
          </w:tcPr>
          <w:p w14:paraId="671F873E" w14:textId="77777777" w:rsidR="000E145C" w:rsidRPr="006F2DDA" w:rsidRDefault="000E145C" w:rsidP="00DB1876">
            <w:pPr>
              <w:rPr>
                <w:b/>
                <w:bCs/>
                <w:szCs w:val="22"/>
              </w:rPr>
            </w:pPr>
            <w:r>
              <w:rPr>
                <w:b/>
                <w:bCs/>
                <w:szCs w:val="22"/>
              </w:rPr>
              <w:t>Bijlage F</w:t>
            </w:r>
            <w:r w:rsidRPr="006F2DDA">
              <w:rPr>
                <w:b/>
                <w:bCs/>
                <w:szCs w:val="22"/>
              </w:rPr>
              <w:t>: Uniform Europees Aanbestedingsdocument (UEA)</w:t>
            </w:r>
          </w:p>
          <w:p w14:paraId="3F9442D8" w14:textId="77777777" w:rsidR="000E145C" w:rsidRPr="006F2DDA" w:rsidRDefault="000E145C" w:rsidP="00DB1876">
            <w:pPr>
              <w:rPr>
                <w:szCs w:val="22"/>
              </w:rPr>
            </w:pPr>
            <w:r w:rsidRPr="006F2DDA">
              <w:rPr>
                <w:szCs w:val="22"/>
              </w:rPr>
              <w:t xml:space="preserve">Inschrijver dient een volledig ingevulde UEA in te dienen. Wanneer Inschrijver een samenwerkingsverband is moeten alle deelnemers aan het samenwerkingsverband ieder afzonderlijk een UEA indienen. </w:t>
            </w:r>
          </w:p>
          <w:p w14:paraId="35D532D5" w14:textId="77777777" w:rsidR="000E145C" w:rsidRPr="006F2DDA" w:rsidRDefault="000E145C" w:rsidP="00DB1876">
            <w:pPr>
              <w:rPr>
                <w:szCs w:val="22"/>
              </w:rPr>
            </w:pPr>
          </w:p>
          <w:p w14:paraId="4F0BF177" w14:textId="77777777" w:rsidR="000E145C" w:rsidRPr="006F2DDA" w:rsidRDefault="000E145C" w:rsidP="00DB1876">
            <w:pPr>
              <w:rPr>
                <w:b/>
                <w:szCs w:val="22"/>
              </w:rPr>
            </w:pPr>
            <w:r w:rsidRPr="006F2DDA">
              <w:rPr>
                <w:szCs w:val="22"/>
              </w:rPr>
              <w:t>Inschrijver moet ook een volledig ingevulde UEA indienen van een derde indien op deze derde een beroep wordt gedaan om te kunnen voldoen aan een Geschiktheidseis.</w:t>
            </w:r>
          </w:p>
        </w:tc>
        <w:tc>
          <w:tcPr>
            <w:tcW w:w="941" w:type="pct"/>
          </w:tcPr>
          <w:p w14:paraId="183B4523" w14:textId="77777777" w:rsidR="000E145C" w:rsidRPr="006F2DDA" w:rsidRDefault="000E145C" w:rsidP="00DB1876">
            <w:pPr>
              <w:jc w:val="center"/>
              <w:rPr>
                <w:b/>
                <w:bCs/>
                <w:szCs w:val="22"/>
              </w:rPr>
            </w:pPr>
            <w:r w:rsidRPr="006F2DDA">
              <w:rPr>
                <w:b/>
                <w:bCs/>
                <w:szCs w:val="22"/>
              </w:rPr>
              <w:t>X</w:t>
            </w:r>
          </w:p>
        </w:tc>
        <w:tc>
          <w:tcPr>
            <w:tcW w:w="1143" w:type="pct"/>
          </w:tcPr>
          <w:p w14:paraId="34D82090" w14:textId="77777777" w:rsidR="000E145C" w:rsidRPr="006F2DDA" w:rsidRDefault="000E145C" w:rsidP="00DB1876">
            <w:pPr>
              <w:jc w:val="center"/>
              <w:rPr>
                <w:b/>
                <w:bCs/>
                <w:szCs w:val="22"/>
              </w:rPr>
            </w:pPr>
          </w:p>
        </w:tc>
      </w:tr>
      <w:tr w:rsidR="000E145C" w:rsidRPr="006F2DDA" w14:paraId="05E64BE7" w14:textId="77777777" w:rsidTr="00DB1876">
        <w:trPr>
          <w:trHeight w:val="300"/>
        </w:trPr>
        <w:tc>
          <w:tcPr>
            <w:tcW w:w="2916" w:type="pct"/>
          </w:tcPr>
          <w:p w14:paraId="002B607E" w14:textId="77777777" w:rsidR="000E145C" w:rsidRDefault="000E145C" w:rsidP="00DB1876">
            <w:pPr>
              <w:pStyle w:val="broodtekst"/>
              <w:tabs>
                <w:tab w:val="clear" w:pos="227"/>
                <w:tab w:val="clear" w:pos="454"/>
                <w:tab w:val="clear" w:pos="680"/>
                <w:tab w:val="left" w:pos="1276"/>
              </w:tabs>
              <w:spacing w:line="240" w:lineRule="exact"/>
              <w:ind w:right="-30"/>
              <w:rPr>
                <w:rFonts w:ascii="Times New Roman" w:hAnsi="Times New Roman"/>
                <w:color w:val="000000"/>
                <w:sz w:val="22"/>
                <w:szCs w:val="22"/>
              </w:rPr>
            </w:pPr>
            <w:r w:rsidRPr="006F2DDA">
              <w:rPr>
                <w:rFonts w:ascii="Times New Roman" w:hAnsi="Times New Roman"/>
                <w:b/>
                <w:color w:val="000000"/>
                <w:sz w:val="22"/>
                <w:szCs w:val="22"/>
              </w:rPr>
              <w:t>Gedragsverklaring aanbesteden</w:t>
            </w:r>
            <w:r w:rsidRPr="006F2DDA">
              <w:rPr>
                <w:rFonts w:ascii="Times New Roman" w:hAnsi="Times New Roman"/>
                <w:color w:val="000000"/>
                <w:sz w:val="22"/>
                <w:szCs w:val="22"/>
              </w:rPr>
              <w:t xml:space="preserve"> </w:t>
            </w:r>
          </w:p>
          <w:p w14:paraId="1B21630B" w14:textId="77777777" w:rsidR="000E145C" w:rsidRPr="006F2DDA" w:rsidRDefault="000E145C" w:rsidP="00DB1876">
            <w:pPr>
              <w:rPr>
                <w:b/>
                <w:bCs/>
                <w:szCs w:val="22"/>
              </w:rPr>
            </w:pPr>
            <w:r w:rsidRPr="004C4D7F">
              <w:rPr>
                <w:szCs w:val="22"/>
              </w:rPr>
              <w:t xml:space="preserve">De GVA dient op het tijdstip van indienen </w:t>
            </w:r>
            <w:r>
              <w:rPr>
                <w:szCs w:val="22"/>
              </w:rPr>
              <w:t>Inschrijving</w:t>
            </w:r>
            <w:r w:rsidRPr="004C4D7F">
              <w:rPr>
                <w:szCs w:val="22"/>
              </w:rPr>
              <w:t xml:space="preserve"> niet ouder dan 2 jaar te zijn. In de verklaring dient te worden aangetoond dat de uitsluitingsgronden niet op </w:t>
            </w:r>
            <w:r>
              <w:rPr>
                <w:szCs w:val="22"/>
              </w:rPr>
              <w:t>Inschrijver</w:t>
            </w:r>
            <w:r w:rsidRPr="004C4D7F">
              <w:rPr>
                <w:szCs w:val="22"/>
              </w:rPr>
              <w:t xml:space="preserve"> van toepassing zijn.</w:t>
            </w:r>
          </w:p>
        </w:tc>
        <w:tc>
          <w:tcPr>
            <w:tcW w:w="941" w:type="pct"/>
          </w:tcPr>
          <w:p w14:paraId="6AE16959" w14:textId="77777777" w:rsidR="000E145C" w:rsidRPr="006F2DDA" w:rsidRDefault="000E145C" w:rsidP="00DB1876">
            <w:pPr>
              <w:jc w:val="center"/>
              <w:rPr>
                <w:b/>
                <w:bCs/>
                <w:szCs w:val="22"/>
              </w:rPr>
            </w:pPr>
          </w:p>
        </w:tc>
        <w:tc>
          <w:tcPr>
            <w:tcW w:w="1143" w:type="pct"/>
          </w:tcPr>
          <w:p w14:paraId="64936714" w14:textId="77777777" w:rsidR="000E145C" w:rsidRPr="006F2DDA" w:rsidRDefault="000E145C" w:rsidP="00DB1876">
            <w:pPr>
              <w:jc w:val="center"/>
              <w:rPr>
                <w:b/>
                <w:bCs/>
                <w:szCs w:val="22"/>
              </w:rPr>
            </w:pPr>
            <w:r w:rsidRPr="006F2DDA">
              <w:rPr>
                <w:b/>
                <w:bCs/>
                <w:szCs w:val="22"/>
              </w:rPr>
              <w:t>X</w:t>
            </w:r>
          </w:p>
        </w:tc>
      </w:tr>
      <w:tr w:rsidR="000E145C" w:rsidRPr="006F2DDA" w14:paraId="6AB86E29" w14:textId="77777777" w:rsidTr="00DB1876">
        <w:trPr>
          <w:trHeight w:val="300"/>
        </w:trPr>
        <w:tc>
          <w:tcPr>
            <w:tcW w:w="2916" w:type="pct"/>
          </w:tcPr>
          <w:p w14:paraId="6EFA8407" w14:textId="77777777" w:rsidR="000E145C" w:rsidRPr="006F2DDA" w:rsidRDefault="000E145C" w:rsidP="00DB1876">
            <w:pPr>
              <w:rPr>
                <w:b/>
                <w:szCs w:val="22"/>
              </w:rPr>
            </w:pPr>
            <w:r w:rsidRPr="006F2DDA">
              <w:rPr>
                <w:b/>
                <w:szCs w:val="22"/>
              </w:rPr>
              <w:t xml:space="preserve">Verklaring Belastingdienst </w:t>
            </w:r>
          </w:p>
          <w:p w14:paraId="1BA7F9B4" w14:textId="77777777" w:rsidR="000E145C" w:rsidRPr="006F2DDA" w:rsidRDefault="000E145C" w:rsidP="00DB1876">
            <w:pPr>
              <w:rPr>
                <w:b/>
                <w:bCs/>
                <w:szCs w:val="22"/>
              </w:rPr>
            </w:pPr>
            <w:r w:rsidRPr="006F2DDA">
              <w:rPr>
                <w:szCs w:val="22"/>
              </w:rPr>
              <w:t xml:space="preserve">Inzake betaling sociale zekerheidspremies niet ouder dan 6 maanden, </w:t>
            </w:r>
            <w:r w:rsidRPr="00B46357">
              <w:rPr>
                <w:szCs w:val="22"/>
              </w:rPr>
              <w:t>gerekend vanaf het tijdstip van indienen</w:t>
            </w:r>
            <w:r>
              <w:rPr>
                <w:szCs w:val="22"/>
              </w:rPr>
              <w:t xml:space="preserve"> Inschrijving.</w:t>
            </w:r>
          </w:p>
        </w:tc>
        <w:tc>
          <w:tcPr>
            <w:tcW w:w="941" w:type="pct"/>
          </w:tcPr>
          <w:p w14:paraId="16233D4B" w14:textId="77777777" w:rsidR="000E145C" w:rsidRPr="006F2DDA" w:rsidRDefault="000E145C" w:rsidP="00DB1876">
            <w:pPr>
              <w:jc w:val="center"/>
              <w:rPr>
                <w:b/>
                <w:bCs/>
                <w:szCs w:val="22"/>
              </w:rPr>
            </w:pPr>
          </w:p>
        </w:tc>
        <w:tc>
          <w:tcPr>
            <w:tcW w:w="1143" w:type="pct"/>
          </w:tcPr>
          <w:p w14:paraId="60F323FC" w14:textId="77777777" w:rsidR="000E145C" w:rsidRPr="006F2DDA" w:rsidRDefault="000E145C" w:rsidP="00DB1876">
            <w:pPr>
              <w:jc w:val="center"/>
              <w:rPr>
                <w:b/>
                <w:bCs/>
                <w:szCs w:val="22"/>
              </w:rPr>
            </w:pPr>
            <w:r w:rsidRPr="006F2DDA">
              <w:rPr>
                <w:b/>
                <w:bCs/>
                <w:szCs w:val="22"/>
              </w:rPr>
              <w:t>X</w:t>
            </w:r>
          </w:p>
        </w:tc>
      </w:tr>
      <w:tr w:rsidR="000E145C" w:rsidRPr="006F2DDA" w14:paraId="4FAEB079" w14:textId="77777777" w:rsidTr="00DB1876">
        <w:trPr>
          <w:trHeight w:val="300"/>
        </w:trPr>
        <w:tc>
          <w:tcPr>
            <w:tcW w:w="2916" w:type="pct"/>
          </w:tcPr>
          <w:p w14:paraId="4066FF26" w14:textId="77777777" w:rsidR="000E145C" w:rsidRPr="006F2DDA" w:rsidRDefault="000E145C" w:rsidP="00DB1876">
            <w:pPr>
              <w:rPr>
                <w:b/>
                <w:bCs/>
                <w:szCs w:val="22"/>
              </w:rPr>
            </w:pPr>
            <w:r w:rsidRPr="006F2DDA">
              <w:rPr>
                <w:b/>
                <w:bCs/>
                <w:szCs w:val="22"/>
              </w:rPr>
              <w:t xml:space="preserve">Geschiktheidseisen algemeen: </w:t>
            </w:r>
            <w:r w:rsidRPr="006F2DDA">
              <w:rPr>
                <w:b/>
                <w:bCs/>
                <w:szCs w:val="22"/>
              </w:rPr>
              <w:br/>
              <w:t>Bij beroep op derde(n) om te kunnen voldoen aan een Geschiktheidseis</w:t>
            </w:r>
          </w:p>
          <w:p w14:paraId="4A572FFE" w14:textId="77777777" w:rsidR="000E145C" w:rsidRPr="006F2DDA" w:rsidRDefault="000E145C" w:rsidP="00DB1876">
            <w:pPr>
              <w:rPr>
                <w:b/>
                <w:bCs/>
                <w:szCs w:val="22"/>
              </w:rPr>
            </w:pPr>
            <w:r w:rsidRPr="006F2DDA">
              <w:rPr>
                <w:szCs w:val="22"/>
              </w:rPr>
              <w:lastRenderedPageBreak/>
              <w:t>Bewijsmiddelen aan leveren waaruit blijkt dat Inschrijver vrijelijk kan beschikken over de voor de uitvoering van de opdracht noodzakelijke middelen (bijv. een samenwerkingsovereenkomst).</w:t>
            </w:r>
          </w:p>
        </w:tc>
        <w:tc>
          <w:tcPr>
            <w:tcW w:w="941" w:type="pct"/>
          </w:tcPr>
          <w:p w14:paraId="0DD8FF4A" w14:textId="77777777" w:rsidR="000E145C" w:rsidRPr="006F2DDA" w:rsidRDefault="000E145C" w:rsidP="00DB1876">
            <w:pPr>
              <w:jc w:val="center"/>
              <w:rPr>
                <w:b/>
                <w:bCs/>
                <w:szCs w:val="22"/>
              </w:rPr>
            </w:pPr>
          </w:p>
        </w:tc>
        <w:tc>
          <w:tcPr>
            <w:tcW w:w="1143" w:type="pct"/>
          </w:tcPr>
          <w:p w14:paraId="58C66F75" w14:textId="77777777" w:rsidR="000E145C" w:rsidRPr="006F2DDA" w:rsidRDefault="000E145C" w:rsidP="00DB1876">
            <w:pPr>
              <w:jc w:val="center"/>
              <w:rPr>
                <w:b/>
                <w:bCs/>
                <w:szCs w:val="22"/>
              </w:rPr>
            </w:pPr>
            <w:r w:rsidRPr="006F2DDA">
              <w:rPr>
                <w:b/>
                <w:bCs/>
                <w:szCs w:val="22"/>
              </w:rPr>
              <w:t>X</w:t>
            </w:r>
          </w:p>
        </w:tc>
      </w:tr>
      <w:tr w:rsidR="00DA1385" w:rsidRPr="006F2DDA" w14:paraId="1220A7F1" w14:textId="77777777" w:rsidTr="00DB1876">
        <w:trPr>
          <w:trHeight w:val="300"/>
        </w:trPr>
        <w:tc>
          <w:tcPr>
            <w:tcW w:w="2916" w:type="pct"/>
          </w:tcPr>
          <w:p w14:paraId="4F344648" w14:textId="77777777" w:rsidR="00DA1385" w:rsidRDefault="00DA1385" w:rsidP="00DA1385">
            <w:pPr>
              <w:rPr>
                <w:b/>
                <w:bCs/>
                <w:szCs w:val="22"/>
              </w:rPr>
            </w:pPr>
            <w:r w:rsidRPr="00DA1385">
              <w:rPr>
                <w:b/>
                <w:bCs/>
                <w:szCs w:val="22"/>
              </w:rPr>
              <w:t xml:space="preserve">Geschiktheidseis 1: </w:t>
            </w:r>
          </w:p>
          <w:p w14:paraId="2F115403" w14:textId="4139530F" w:rsidR="00DA1385" w:rsidRPr="00DA1385" w:rsidRDefault="00DA1385" w:rsidP="00DA1385">
            <w:pPr>
              <w:rPr>
                <w:szCs w:val="22"/>
              </w:rPr>
            </w:pPr>
            <w:r w:rsidRPr="00DA1385">
              <w:rPr>
                <w:szCs w:val="22"/>
              </w:rPr>
              <w:t>Inschrijving in nationaal handelsregister</w:t>
            </w:r>
          </w:p>
          <w:p w14:paraId="260078D1" w14:textId="46D0CC95" w:rsidR="00DA1385" w:rsidRPr="00B21874" w:rsidRDefault="00DA1385" w:rsidP="00DA1385">
            <w:pPr>
              <w:rPr>
                <w:b/>
                <w:bCs/>
                <w:szCs w:val="22"/>
              </w:rPr>
            </w:pPr>
            <w:r w:rsidRPr="00DA1385">
              <w:rPr>
                <w:szCs w:val="22"/>
              </w:rPr>
              <w:t>Inschrijver dient ingeschreven te staan in het beroeps- of handelsregister volgens de voorschriften van de lidstaat waar hij gevestigd is. Dit geldt zowel ten tijde van indiening van de Inschrijving als tijdens de uitvoering van de Overeenkomst.</w:t>
            </w:r>
          </w:p>
        </w:tc>
        <w:tc>
          <w:tcPr>
            <w:tcW w:w="941" w:type="pct"/>
          </w:tcPr>
          <w:p w14:paraId="7B27B081" w14:textId="77777777" w:rsidR="00DA1385" w:rsidRPr="006F2DDA" w:rsidRDefault="00DA1385" w:rsidP="00DB1876">
            <w:pPr>
              <w:jc w:val="center"/>
              <w:rPr>
                <w:b/>
                <w:bCs/>
                <w:szCs w:val="22"/>
              </w:rPr>
            </w:pPr>
          </w:p>
        </w:tc>
        <w:tc>
          <w:tcPr>
            <w:tcW w:w="1143" w:type="pct"/>
          </w:tcPr>
          <w:p w14:paraId="3CAB491D" w14:textId="06C83C70" w:rsidR="00DA1385" w:rsidRDefault="00DA1385" w:rsidP="00DB1876">
            <w:pPr>
              <w:jc w:val="center"/>
              <w:rPr>
                <w:b/>
                <w:bCs/>
                <w:szCs w:val="22"/>
              </w:rPr>
            </w:pPr>
            <w:r>
              <w:rPr>
                <w:b/>
                <w:bCs/>
                <w:szCs w:val="22"/>
              </w:rPr>
              <w:t>x</w:t>
            </w:r>
          </w:p>
        </w:tc>
      </w:tr>
      <w:tr w:rsidR="000E145C" w:rsidRPr="006F2DDA" w14:paraId="271F7A8E" w14:textId="77777777" w:rsidTr="00DB1876">
        <w:trPr>
          <w:trHeight w:val="300"/>
        </w:trPr>
        <w:tc>
          <w:tcPr>
            <w:tcW w:w="2916" w:type="pct"/>
          </w:tcPr>
          <w:p w14:paraId="7BB4EB0B" w14:textId="77777777" w:rsidR="000E145C" w:rsidRPr="00B21874" w:rsidRDefault="000E145C" w:rsidP="00DB1876">
            <w:pPr>
              <w:rPr>
                <w:b/>
                <w:bCs/>
                <w:szCs w:val="22"/>
              </w:rPr>
            </w:pPr>
            <w:r w:rsidRPr="00B21874">
              <w:rPr>
                <w:b/>
                <w:bCs/>
                <w:szCs w:val="22"/>
              </w:rPr>
              <w:t>Geschiktheidseis 2:</w:t>
            </w:r>
          </w:p>
          <w:p w14:paraId="707864F1" w14:textId="77777777" w:rsidR="00072EF1" w:rsidRPr="00072EF1" w:rsidRDefault="00072EF1" w:rsidP="00072EF1">
            <w:pPr>
              <w:rPr>
                <w:szCs w:val="22"/>
              </w:rPr>
            </w:pPr>
            <w:r w:rsidRPr="00072EF1">
              <w:rPr>
                <w:szCs w:val="22"/>
              </w:rPr>
              <w:t>Beschikking over adequate aansprakelijkheidsdekking</w:t>
            </w:r>
          </w:p>
          <w:p w14:paraId="55C5574D" w14:textId="77777777" w:rsidR="00072EF1" w:rsidRPr="00072EF1" w:rsidRDefault="00072EF1" w:rsidP="00072EF1">
            <w:pPr>
              <w:rPr>
                <w:szCs w:val="22"/>
              </w:rPr>
            </w:pPr>
          </w:p>
          <w:p w14:paraId="66AA0413" w14:textId="0EB31897" w:rsidR="000E145C" w:rsidRPr="00B21874" w:rsidRDefault="00072EF1" w:rsidP="00072EF1">
            <w:pPr>
              <w:rPr>
                <w:szCs w:val="22"/>
                <w:highlight w:val="yellow"/>
              </w:rPr>
            </w:pPr>
            <w:r w:rsidRPr="00072EF1">
              <w:rPr>
                <w:szCs w:val="22"/>
              </w:rPr>
              <w:t>Inschrijver heeft zich, op straffe van uitsluiting van de Aanbestedingsprocedure, op een naar verkeersnormen passende en gebruikelijke wijze verzekerd en houdt zich zodanig verzekerd tegen alle aansprakelijkheid voortvloeiende uit de Overeenkomst, waaronder in ieder geval begrepen beroeps- en bedrijfsaansprakelijkheid. De in de vorige zin bedoelde verzekering biedt dekking voor ten minste 100% van de in artikel 21 van de ARVODI-2018 bedoelde bedragen, derhalve € 1.250.000 per gebeurtenis en € 3.000.000 per contractjaar.</w:t>
            </w:r>
          </w:p>
        </w:tc>
        <w:tc>
          <w:tcPr>
            <w:tcW w:w="941" w:type="pct"/>
          </w:tcPr>
          <w:p w14:paraId="236B2924" w14:textId="77777777" w:rsidR="000E145C" w:rsidRPr="006F2DDA" w:rsidRDefault="000E145C" w:rsidP="00DB1876">
            <w:pPr>
              <w:jc w:val="center"/>
              <w:rPr>
                <w:b/>
                <w:bCs/>
                <w:szCs w:val="22"/>
              </w:rPr>
            </w:pPr>
          </w:p>
        </w:tc>
        <w:tc>
          <w:tcPr>
            <w:tcW w:w="1143" w:type="pct"/>
          </w:tcPr>
          <w:p w14:paraId="6116148E" w14:textId="77777777" w:rsidR="000E145C" w:rsidRPr="006F2DDA" w:rsidRDefault="000E145C" w:rsidP="00DB1876">
            <w:pPr>
              <w:jc w:val="center"/>
              <w:rPr>
                <w:b/>
                <w:bCs/>
                <w:szCs w:val="22"/>
              </w:rPr>
            </w:pPr>
            <w:r>
              <w:rPr>
                <w:b/>
                <w:bCs/>
                <w:szCs w:val="22"/>
              </w:rPr>
              <w:t>X</w:t>
            </w:r>
          </w:p>
        </w:tc>
      </w:tr>
      <w:tr w:rsidR="000E145C" w:rsidRPr="006F2DDA" w14:paraId="6FEB1B7F" w14:textId="77777777" w:rsidTr="00DB1876">
        <w:trPr>
          <w:trHeight w:val="300"/>
        </w:trPr>
        <w:tc>
          <w:tcPr>
            <w:tcW w:w="2916" w:type="pct"/>
          </w:tcPr>
          <w:p w14:paraId="7DAD73CC" w14:textId="77777777" w:rsidR="000E145C" w:rsidRPr="006F2DDA" w:rsidRDefault="000E145C" w:rsidP="00DB1876">
            <w:pPr>
              <w:rPr>
                <w:szCs w:val="22"/>
              </w:rPr>
            </w:pPr>
            <w:r w:rsidRPr="00AF4232">
              <w:rPr>
                <w:b/>
                <w:bCs/>
                <w:szCs w:val="22"/>
              </w:rPr>
              <w:t xml:space="preserve">Geschiktheidseis 3: </w:t>
            </w:r>
          </w:p>
          <w:p w14:paraId="02404DA1" w14:textId="77777777" w:rsidR="000E145C" w:rsidRPr="006F2DDA" w:rsidRDefault="000E145C" w:rsidP="00DB1876">
            <w:pPr>
              <w:rPr>
                <w:b/>
                <w:bCs/>
                <w:szCs w:val="22"/>
              </w:rPr>
            </w:pPr>
            <w:r w:rsidRPr="006F2DDA">
              <w:rPr>
                <w:bCs/>
                <w:szCs w:val="22"/>
              </w:rPr>
              <w:t>Kopie(</w:t>
            </w:r>
            <w:proofErr w:type="spellStart"/>
            <w:r w:rsidRPr="006F2DDA">
              <w:rPr>
                <w:bCs/>
                <w:szCs w:val="22"/>
              </w:rPr>
              <w:t>ën</w:t>
            </w:r>
            <w:proofErr w:type="spellEnd"/>
            <w:r w:rsidRPr="006F2DDA">
              <w:rPr>
                <w:bCs/>
                <w:szCs w:val="22"/>
              </w:rPr>
              <w:t>) van de originele accountantsverklaring over de twee meest recent afgesloten boekjaren. Indien van toepassing aangevuld met een ‘garantieverklaring Derden’, een 2:403-verklaring of een concerngarantie</w:t>
            </w:r>
            <w:r>
              <w:rPr>
                <w:bCs/>
                <w:szCs w:val="22"/>
              </w:rPr>
              <w:t>,</w:t>
            </w:r>
            <w:r>
              <w:t xml:space="preserve"> </w:t>
            </w:r>
            <w:r w:rsidRPr="002A4BB3">
              <w:rPr>
                <w:bCs/>
                <w:szCs w:val="22"/>
              </w:rPr>
              <w:t>of in het geval van ‘kleine rechtspersoon’ een beoordelings- of samenstellingsverklaring.</w:t>
            </w:r>
          </w:p>
        </w:tc>
        <w:tc>
          <w:tcPr>
            <w:tcW w:w="941" w:type="pct"/>
          </w:tcPr>
          <w:p w14:paraId="77EEB7FB" w14:textId="77777777" w:rsidR="000E145C" w:rsidRPr="006F2DDA" w:rsidRDefault="000E145C" w:rsidP="00DB1876">
            <w:pPr>
              <w:jc w:val="center"/>
              <w:rPr>
                <w:b/>
                <w:bCs/>
                <w:szCs w:val="22"/>
              </w:rPr>
            </w:pPr>
          </w:p>
        </w:tc>
        <w:tc>
          <w:tcPr>
            <w:tcW w:w="1143" w:type="pct"/>
          </w:tcPr>
          <w:p w14:paraId="1C15159E" w14:textId="77777777" w:rsidR="000E145C" w:rsidRPr="006F2DDA" w:rsidRDefault="000E145C" w:rsidP="00DB1876">
            <w:pPr>
              <w:jc w:val="center"/>
              <w:rPr>
                <w:b/>
                <w:bCs/>
                <w:szCs w:val="22"/>
              </w:rPr>
            </w:pPr>
            <w:r w:rsidRPr="006F2DDA">
              <w:rPr>
                <w:b/>
                <w:bCs/>
                <w:szCs w:val="22"/>
              </w:rPr>
              <w:t>X</w:t>
            </w:r>
          </w:p>
        </w:tc>
      </w:tr>
      <w:tr w:rsidR="000E145C" w:rsidRPr="006F2DDA" w14:paraId="152AC28C" w14:textId="77777777" w:rsidTr="00DB1876">
        <w:trPr>
          <w:trHeight w:val="300"/>
        </w:trPr>
        <w:tc>
          <w:tcPr>
            <w:tcW w:w="2916" w:type="pct"/>
          </w:tcPr>
          <w:p w14:paraId="7264EBF1" w14:textId="7AD778C6" w:rsidR="000E145C" w:rsidRPr="006F2DDA" w:rsidRDefault="000E145C" w:rsidP="00DB1876">
            <w:pPr>
              <w:rPr>
                <w:b/>
                <w:bCs/>
                <w:szCs w:val="22"/>
              </w:rPr>
            </w:pPr>
            <w:r w:rsidRPr="00361861">
              <w:rPr>
                <w:b/>
                <w:bCs/>
                <w:szCs w:val="22"/>
              </w:rPr>
              <w:t xml:space="preserve">Geschiktheidseis </w:t>
            </w:r>
            <w:r w:rsidR="000762F4">
              <w:rPr>
                <w:b/>
                <w:bCs/>
                <w:szCs w:val="22"/>
              </w:rPr>
              <w:t>4</w:t>
            </w:r>
            <w:r w:rsidRPr="00361861">
              <w:rPr>
                <w:b/>
                <w:bCs/>
                <w:szCs w:val="22"/>
              </w:rPr>
              <w:t>: Kerncompetenties</w:t>
            </w:r>
            <w:r w:rsidRPr="002F1193">
              <w:rPr>
                <w:b/>
                <w:bCs/>
                <w:szCs w:val="22"/>
              </w:rPr>
              <w:t xml:space="preserve"> technische en beroepsbekwaamheid</w:t>
            </w:r>
          </w:p>
          <w:p w14:paraId="24BC788F" w14:textId="0AB68987" w:rsidR="000E145C" w:rsidRPr="006F2DDA" w:rsidRDefault="000E145C" w:rsidP="00DB1876">
            <w:pPr>
              <w:pStyle w:val="Default"/>
              <w:rPr>
                <w:rFonts w:ascii="Times New Roman" w:hAnsi="Times New Roman" w:cs="Times New Roman"/>
                <w:bCs/>
                <w:color w:val="auto"/>
                <w:sz w:val="22"/>
                <w:szCs w:val="22"/>
              </w:rPr>
            </w:pPr>
            <w:r w:rsidRPr="006F2DDA">
              <w:rPr>
                <w:rFonts w:ascii="Times New Roman" w:hAnsi="Times New Roman" w:cs="Times New Roman"/>
                <w:bCs/>
                <w:color w:val="auto"/>
                <w:sz w:val="22"/>
                <w:szCs w:val="22"/>
              </w:rPr>
              <w:lastRenderedPageBreak/>
              <w:t xml:space="preserve">Bijlage </w:t>
            </w:r>
            <w:r>
              <w:rPr>
                <w:rFonts w:ascii="Times New Roman" w:hAnsi="Times New Roman" w:cs="Times New Roman"/>
                <w:bCs/>
                <w:color w:val="auto"/>
                <w:sz w:val="22"/>
                <w:szCs w:val="22"/>
              </w:rPr>
              <w:t xml:space="preserve">G. </w:t>
            </w:r>
            <w:r w:rsidRPr="00B46357">
              <w:rPr>
                <w:rFonts w:ascii="Times New Roman" w:hAnsi="Times New Roman" w:cs="Times New Roman"/>
                <w:bCs/>
                <w:color w:val="auto"/>
                <w:sz w:val="22"/>
                <w:szCs w:val="22"/>
              </w:rPr>
              <w:t>Standaardformulier Referentie-opdrachten: Specificatie referentieopdracht(en)</w:t>
            </w:r>
          </w:p>
          <w:p w14:paraId="6D69D11A" w14:textId="77777777" w:rsidR="000E145C" w:rsidRPr="006F2DDA" w:rsidRDefault="000E145C" w:rsidP="00DB1876">
            <w:pPr>
              <w:rPr>
                <w:b/>
                <w:szCs w:val="22"/>
              </w:rPr>
            </w:pPr>
          </w:p>
        </w:tc>
        <w:tc>
          <w:tcPr>
            <w:tcW w:w="941" w:type="pct"/>
          </w:tcPr>
          <w:p w14:paraId="0F87B368" w14:textId="77777777" w:rsidR="000E145C" w:rsidRPr="006F2DDA" w:rsidRDefault="000E145C" w:rsidP="00DB1876">
            <w:pPr>
              <w:jc w:val="center"/>
              <w:rPr>
                <w:b/>
                <w:bCs/>
                <w:szCs w:val="22"/>
              </w:rPr>
            </w:pPr>
            <w:r w:rsidRPr="006F2DDA">
              <w:rPr>
                <w:b/>
                <w:bCs/>
                <w:szCs w:val="22"/>
              </w:rPr>
              <w:lastRenderedPageBreak/>
              <w:t xml:space="preserve">X </w:t>
            </w:r>
          </w:p>
        </w:tc>
        <w:tc>
          <w:tcPr>
            <w:tcW w:w="1143" w:type="pct"/>
          </w:tcPr>
          <w:p w14:paraId="63FA520E" w14:textId="77777777" w:rsidR="000E145C" w:rsidRPr="006F2DDA" w:rsidRDefault="000E145C" w:rsidP="00DB1876">
            <w:pPr>
              <w:jc w:val="center"/>
              <w:rPr>
                <w:b/>
                <w:bCs/>
                <w:szCs w:val="22"/>
              </w:rPr>
            </w:pPr>
          </w:p>
        </w:tc>
      </w:tr>
      <w:tr w:rsidR="000E145C" w:rsidRPr="006F2DDA" w14:paraId="0C634CDD" w14:textId="77777777" w:rsidTr="00DB1876">
        <w:trPr>
          <w:trHeight w:val="300"/>
        </w:trPr>
        <w:tc>
          <w:tcPr>
            <w:tcW w:w="2916" w:type="pct"/>
          </w:tcPr>
          <w:p w14:paraId="24763812" w14:textId="35A28E5C" w:rsidR="000E145C" w:rsidRPr="006F2DDA" w:rsidRDefault="000E145C" w:rsidP="00DB1876">
            <w:pPr>
              <w:rPr>
                <w:b/>
                <w:bCs/>
                <w:szCs w:val="22"/>
              </w:rPr>
            </w:pPr>
            <w:r w:rsidRPr="00361861">
              <w:rPr>
                <w:b/>
                <w:bCs/>
                <w:szCs w:val="22"/>
              </w:rPr>
              <w:t xml:space="preserve">Geschiktheidseis </w:t>
            </w:r>
            <w:r w:rsidR="002A64C4">
              <w:rPr>
                <w:b/>
                <w:bCs/>
                <w:szCs w:val="22"/>
              </w:rPr>
              <w:t>5</w:t>
            </w:r>
            <w:r w:rsidRPr="00361861">
              <w:rPr>
                <w:b/>
                <w:bCs/>
                <w:szCs w:val="22"/>
              </w:rPr>
              <w:t>: Kwaliteitsborging</w:t>
            </w:r>
          </w:p>
          <w:p w14:paraId="6651E1C1" w14:textId="77777777" w:rsidR="000E145C" w:rsidRPr="00B46357" w:rsidRDefault="000E145C" w:rsidP="00DB1876">
            <w:pPr>
              <w:pStyle w:val="Default"/>
              <w:rPr>
                <w:rFonts w:ascii="Times New Roman" w:hAnsi="Times New Roman" w:cs="Times New Roman"/>
                <w:bCs/>
                <w:color w:val="auto"/>
                <w:sz w:val="22"/>
                <w:szCs w:val="22"/>
              </w:rPr>
            </w:pPr>
            <w:r w:rsidRPr="00B46357">
              <w:rPr>
                <w:rFonts w:ascii="Times New Roman" w:hAnsi="Times New Roman" w:cs="Times New Roman"/>
                <w:bCs/>
                <w:color w:val="auto"/>
                <w:sz w:val="22"/>
                <w:szCs w:val="22"/>
              </w:rPr>
              <w:t xml:space="preserve">Kopie geldig certificaat of een aantoonbaar gelijkwaardig kwaliteitszorgsysteem. </w:t>
            </w:r>
          </w:p>
          <w:p w14:paraId="6E4E936F" w14:textId="77777777" w:rsidR="000E145C" w:rsidRPr="00B46357" w:rsidRDefault="000E145C" w:rsidP="00DB1876">
            <w:pPr>
              <w:pStyle w:val="Default"/>
              <w:rPr>
                <w:rFonts w:ascii="Times New Roman" w:hAnsi="Times New Roman" w:cs="Times New Roman"/>
                <w:bCs/>
                <w:color w:val="auto"/>
                <w:sz w:val="22"/>
                <w:szCs w:val="22"/>
              </w:rPr>
            </w:pPr>
            <w:r w:rsidRPr="00B46357">
              <w:rPr>
                <w:rFonts w:ascii="Times New Roman" w:hAnsi="Times New Roman" w:cs="Times New Roman"/>
                <w:bCs/>
                <w:color w:val="auto"/>
                <w:sz w:val="22"/>
                <w:szCs w:val="22"/>
              </w:rPr>
              <w:t>Ingeval van een samenwerkingsverband van ondernemers dient het</w:t>
            </w:r>
          </w:p>
          <w:p w14:paraId="577AFFDC" w14:textId="77777777" w:rsidR="000E145C" w:rsidRPr="006F2DDA" w:rsidRDefault="000E145C" w:rsidP="00DB1876">
            <w:pPr>
              <w:pStyle w:val="Default"/>
              <w:rPr>
                <w:rFonts w:ascii="Times New Roman" w:hAnsi="Times New Roman" w:cs="Times New Roman"/>
                <w:bCs/>
                <w:color w:val="auto"/>
                <w:sz w:val="22"/>
                <w:szCs w:val="22"/>
              </w:rPr>
            </w:pPr>
            <w:r w:rsidRPr="00B46357">
              <w:rPr>
                <w:rFonts w:ascii="Times New Roman" w:hAnsi="Times New Roman" w:cs="Times New Roman"/>
                <w:bCs/>
                <w:color w:val="auto"/>
                <w:sz w:val="22"/>
                <w:szCs w:val="22"/>
              </w:rPr>
              <w:t>samenwerkingsverband, dan wel alle deelnemers van het samenwerkingsverband in het</w:t>
            </w:r>
            <w:r>
              <w:rPr>
                <w:rFonts w:ascii="Times New Roman" w:hAnsi="Times New Roman" w:cs="Times New Roman"/>
                <w:bCs/>
                <w:color w:val="auto"/>
                <w:sz w:val="22"/>
                <w:szCs w:val="22"/>
              </w:rPr>
              <w:t xml:space="preserve"> </w:t>
            </w:r>
            <w:r w:rsidRPr="00B46357">
              <w:rPr>
                <w:rFonts w:ascii="Times New Roman" w:hAnsi="Times New Roman" w:cs="Times New Roman"/>
                <w:bCs/>
                <w:color w:val="auto"/>
                <w:sz w:val="22"/>
                <w:szCs w:val="22"/>
              </w:rPr>
              <w:t>bezit te zijn van het hiervoor bedoelde certificaat.</w:t>
            </w:r>
          </w:p>
        </w:tc>
        <w:tc>
          <w:tcPr>
            <w:tcW w:w="941" w:type="pct"/>
          </w:tcPr>
          <w:p w14:paraId="24B6828D" w14:textId="77777777" w:rsidR="000E145C" w:rsidRPr="006F2DDA" w:rsidRDefault="000E145C" w:rsidP="00DB1876">
            <w:pPr>
              <w:jc w:val="center"/>
              <w:rPr>
                <w:b/>
                <w:bCs/>
                <w:szCs w:val="22"/>
              </w:rPr>
            </w:pPr>
          </w:p>
        </w:tc>
        <w:tc>
          <w:tcPr>
            <w:tcW w:w="1143" w:type="pct"/>
          </w:tcPr>
          <w:p w14:paraId="08BB16B8" w14:textId="77777777" w:rsidR="000E145C" w:rsidRPr="006F2DDA" w:rsidRDefault="000E145C" w:rsidP="00DB1876">
            <w:pPr>
              <w:jc w:val="center"/>
              <w:rPr>
                <w:b/>
                <w:bCs/>
                <w:szCs w:val="22"/>
              </w:rPr>
            </w:pPr>
            <w:r w:rsidRPr="006F2DDA">
              <w:rPr>
                <w:b/>
                <w:bCs/>
                <w:szCs w:val="22"/>
              </w:rPr>
              <w:t>X</w:t>
            </w:r>
          </w:p>
        </w:tc>
      </w:tr>
      <w:tr w:rsidR="000E145C" w:rsidRPr="006F2DDA" w14:paraId="06193E95" w14:textId="77777777" w:rsidTr="00DB1876">
        <w:trPr>
          <w:trHeight w:val="300"/>
        </w:trPr>
        <w:tc>
          <w:tcPr>
            <w:tcW w:w="2916" w:type="pct"/>
          </w:tcPr>
          <w:p w14:paraId="2148CF31" w14:textId="77777777" w:rsidR="000E145C" w:rsidRDefault="000E145C" w:rsidP="00DB1876">
            <w:pPr>
              <w:rPr>
                <w:b/>
                <w:bCs/>
              </w:rPr>
            </w:pPr>
            <w:proofErr w:type="spellStart"/>
            <w:r>
              <w:rPr>
                <w:b/>
                <w:bCs/>
              </w:rPr>
              <w:t>Subgunningscriteria</w:t>
            </w:r>
            <w:proofErr w:type="spellEnd"/>
            <w:r>
              <w:rPr>
                <w:b/>
                <w:bCs/>
              </w:rPr>
              <w:t xml:space="preserve"> k</w:t>
            </w:r>
            <w:r w:rsidRPr="005E263A">
              <w:rPr>
                <w:b/>
                <w:bCs/>
              </w:rPr>
              <w:t>waliteit</w:t>
            </w:r>
          </w:p>
          <w:p w14:paraId="01414732" w14:textId="35A804DA" w:rsidR="000E145C" w:rsidRPr="000D31D6" w:rsidRDefault="000E145C" w:rsidP="00DB1876">
            <w:pPr>
              <w:rPr>
                <w:bCs/>
                <w:szCs w:val="22"/>
              </w:rPr>
            </w:pPr>
            <w:r w:rsidRPr="00E316A7">
              <w:rPr>
                <w:bCs/>
              </w:rPr>
              <w:t xml:space="preserve">Inschrijver dient in </w:t>
            </w:r>
            <w:r>
              <w:rPr>
                <w:bCs/>
              </w:rPr>
              <w:t xml:space="preserve">de </w:t>
            </w:r>
            <w:r w:rsidRPr="00202FD7">
              <w:rPr>
                <w:bCs/>
                <w:szCs w:val="22"/>
              </w:rPr>
              <w:t>beantwoording in te dienen t.a.v.</w:t>
            </w:r>
            <w:r>
              <w:rPr>
                <w:bCs/>
                <w:szCs w:val="22"/>
              </w:rPr>
              <w:t xml:space="preserve"> de </w:t>
            </w:r>
            <w:proofErr w:type="spellStart"/>
            <w:r>
              <w:rPr>
                <w:bCs/>
                <w:szCs w:val="22"/>
              </w:rPr>
              <w:t>Subginningscriteria</w:t>
            </w:r>
            <w:proofErr w:type="spellEnd"/>
            <w:r>
              <w:rPr>
                <w:bCs/>
                <w:szCs w:val="22"/>
              </w:rPr>
              <w:t xml:space="preserve"> Kwaliteit </w:t>
            </w:r>
          </w:p>
        </w:tc>
        <w:tc>
          <w:tcPr>
            <w:tcW w:w="941" w:type="pct"/>
          </w:tcPr>
          <w:p w14:paraId="40550C13" w14:textId="77777777" w:rsidR="000E145C" w:rsidRPr="006F2DDA" w:rsidRDefault="000E145C" w:rsidP="00DB1876">
            <w:pPr>
              <w:jc w:val="center"/>
              <w:rPr>
                <w:b/>
                <w:bCs/>
                <w:szCs w:val="22"/>
              </w:rPr>
            </w:pPr>
            <w:r w:rsidRPr="006F2DDA">
              <w:rPr>
                <w:b/>
                <w:bCs/>
                <w:szCs w:val="22"/>
              </w:rPr>
              <w:t>X</w:t>
            </w:r>
          </w:p>
        </w:tc>
        <w:tc>
          <w:tcPr>
            <w:tcW w:w="1143" w:type="pct"/>
          </w:tcPr>
          <w:p w14:paraId="19BD169D" w14:textId="77777777" w:rsidR="000E145C" w:rsidRPr="006F2DDA" w:rsidRDefault="000E145C" w:rsidP="00DB1876">
            <w:pPr>
              <w:jc w:val="center"/>
              <w:rPr>
                <w:b/>
                <w:bCs/>
                <w:szCs w:val="22"/>
              </w:rPr>
            </w:pPr>
          </w:p>
        </w:tc>
      </w:tr>
      <w:tr w:rsidR="000E145C" w:rsidRPr="006F2DDA" w14:paraId="2CB2BBBD" w14:textId="77777777" w:rsidTr="00DB1876">
        <w:trPr>
          <w:trHeight w:val="300"/>
        </w:trPr>
        <w:tc>
          <w:tcPr>
            <w:tcW w:w="2916" w:type="pct"/>
          </w:tcPr>
          <w:p w14:paraId="1182A0CA" w14:textId="77777777" w:rsidR="000E145C" w:rsidRPr="00483413" w:rsidRDefault="000E145C" w:rsidP="00DB1876">
            <w:pPr>
              <w:rPr>
                <w:b/>
                <w:bCs/>
              </w:rPr>
            </w:pPr>
            <w:proofErr w:type="spellStart"/>
            <w:r w:rsidRPr="00202FD7">
              <w:rPr>
                <w:b/>
                <w:bCs/>
              </w:rPr>
              <w:t>Subgunningscriterium</w:t>
            </w:r>
            <w:proofErr w:type="spellEnd"/>
            <w:r w:rsidRPr="00202FD7">
              <w:rPr>
                <w:b/>
                <w:bCs/>
              </w:rPr>
              <w:t xml:space="preserve"> prijs</w:t>
            </w:r>
            <w:r w:rsidRPr="00483413">
              <w:rPr>
                <w:b/>
                <w:bCs/>
              </w:rPr>
              <w:t xml:space="preserve"> </w:t>
            </w:r>
          </w:p>
          <w:p w14:paraId="78BB7717" w14:textId="1E244C7D" w:rsidR="000E145C" w:rsidRPr="00365C22" w:rsidRDefault="00CF661E" w:rsidP="00DB1876">
            <w:r w:rsidRPr="00CF661E">
              <w:t xml:space="preserve">Bijlage </w:t>
            </w:r>
            <w:r w:rsidR="002A64C4">
              <w:t>I</w:t>
            </w:r>
            <w:r w:rsidRPr="00CF661E">
              <w:t xml:space="preserve"> Prijzenblad </w:t>
            </w:r>
            <w:r>
              <w:t xml:space="preserve">(Ingevuld en rechtsgeldig </w:t>
            </w:r>
            <w:r w:rsidR="00BF1217">
              <w:t>ondertekend)</w:t>
            </w:r>
          </w:p>
        </w:tc>
        <w:tc>
          <w:tcPr>
            <w:tcW w:w="941" w:type="pct"/>
          </w:tcPr>
          <w:p w14:paraId="4AD4A637" w14:textId="77777777" w:rsidR="000E145C" w:rsidRPr="006F2DDA" w:rsidRDefault="000E145C" w:rsidP="00DB1876">
            <w:pPr>
              <w:jc w:val="center"/>
              <w:rPr>
                <w:b/>
                <w:bCs/>
                <w:szCs w:val="22"/>
              </w:rPr>
            </w:pPr>
            <w:r w:rsidRPr="006F2DDA">
              <w:rPr>
                <w:b/>
                <w:bCs/>
                <w:szCs w:val="22"/>
              </w:rPr>
              <w:t>X</w:t>
            </w:r>
          </w:p>
        </w:tc>
        <w:tc>
          <w:tcPr>
            <w:tcW w:w="1143" w:type="pct"/>
          </w:tcPr>
          <w:p w14:paraId="5AF9655E" w14:textId="77777777" w:rsidR="000E145C" w:rsidRPr="006F2DDA" w:rsidRDefault="000E145C" w:rsidP="00DB1876">
            <w:pPr>
              <w:jc w:val="center"/>
              <w:rPr>
                <w:b/>
                <w:bCs/>
                <w:szCs w:val="22"/>
              </w:rPr>
            </w:pPr>
          </w:p>
        </w:tc>
      </w:tr>
    </w:tbl>
    <w:p w14:paraId="18CABBC4" w14:textId="77777777" w:rsidR="000E145C" w:rsidRPr="000E145C" w:rsidRDefault="000E145C">
      <w:pPr>
        <w:rPr>
          <w:b/>
          <w:bCs/>
        </w:rPr>
      </w:pPr>
    </w:p>
    <w:sectPr w:rsidR="000E145C" w:rsidRPr="000E145C">
      <w:headerReference w:type="default" r:id="rId10"/>
      <w:footerReference w:type="even" r:id="rId11"/>
      <w:footerReference w:type="default" r:id="rId12"/>
      <w:headerReference w:type="first" r:id="rId13"/>
      <w:footerReference w:type="first" r:id="rId14"/>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17D4" w14:textId="77777777" w:rsidR="008172AA" w:rsidRDefault="008172AA">
      <w:r>
        <w:separator/>
      </w:r>
    </w:p>
  </w:endnote>
  <w:endnote w:type="continuationSeparator" w:id="0">
    <w:p w14:paraId="7D0A239C" w14:textId="77777777" w:rsidR="008172AA" w:rsidRDefault="0081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C606" w14:textId="25EC71E6" w:rsidR="0030325A" w:rsidRDefault="0030325A"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912A5E">
      <w:rPr>
        <w:rStyle w:val="Paginanummer"/>
        <w:noProof/>
      </w:rPr>
      <w:instrText>4</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sidR="000549BB">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912A5E">
      <w:rPr>
        <w:rStyle w:val="Paginanummer"/>
        <w:noProof/>
      </w:rPr>
      <w:t>3</w:t>
    </w:r>
    <w:r>
      <w:rPr>
        <w:rStyle w:val="Paginanummer"/>
      </w:rPr>
      <w:fldChar w:fldCharType="end"/>
    </w:r>
  </w:p>
  <w:p w14:paraId="379FC607" w14:textId="77777777" w:rsidR="0030325A" w:rsidRDefault="0030325A">
    <w:pPr>
      <w:pStyle w:val="Voettekst"/>
      <w:ind w:right="360"/>
    </w:pPr>
  </w:p>
  <w:p w14:paraId="379FC608"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C60B"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D43CB">
                            <w:rPr>
                              <w:rStyle w:val="Paginanummer"/>
                              <w:noProof/>
                            </w:rPr>
                            <w:t>2</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5"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1D43CB">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1D43CB">
                      <w:rPr>
                        <w:rStyle w:val="Paginanummer"/>
                        <w:noProof/>
                      </w:rPr>
                      <w:t>2</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41133" w14:textId="77777777" w:rsidR="008172AA" w:rsidRDefault="008172AA">
      <w:r>
        <w:separator/>
      </w:r>
    </w:p>
  </w:footnote>
  <w:footnote w:type="continuationSeparator" w:id="0">
    <w:p w14:paraId="6136A345" w14:textId="77777777" w:rsidR="008172AA" w:rsidRDefault="0081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C602"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379FC60D" wp14:editId="379FC60E">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D"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379FC617" w14:textId="77777777" w:rsidR="0030325A" w:rsidRDefault="004E6656">
                    <w:pPr>
                      <w:rPr>
                        <w:lang w:val="en-US"/>
                      </w:rPr>
                    </w:pPr>
                    <w:r>
                      <w:rPr>
                        <w:noProof/>
                        <w:lang w:eastAsia="nl-NL"/>
                      </w:rPr>
                      <w:drawing>
                        <wp:inline distT="0" distB="0" distL="0" distR="0" wp14:anchorId="379FC623" wp14:editId="379FC624">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379FC618"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379FC60F" wp14:editId="379FC61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4"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4"/>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0F"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5"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5"/>
                  </w:tbl>
                  <w:p w14:paraId="379FC61B" w14:textId="77777777" w:rsidR="0030325A" w:rsidRDefault="0030325A">
                    <w:pPr>
                      <w:pStyle w:val="footertekst"/>
                    </w:pPr>
                  </w:p>
                </w:txbxContent>
              </v:textbox>
              <w10:wrap anchorx="page" anchory="page"/>
              <w10:anchorlock/>
            </v:shape>
          </w:pict>
        </mc:Fallback>
      </mc:AlternateContent>
    </w:r>
  </w:p>
  <w:p w14:paraId="379FC603"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C609"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79FC612">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5"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7"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379FC61E"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379FC613" wp14:editId="379FC614">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C61F" w14:textId="7632B2A1" w:rsidR="0030325A" w:rsidRDefault="0030325A"/>
                        <w:p w14:paraId="379FC620"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3"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79FC61F" w14:textId="7632B2A1" w:rsidR="0030325A" w:rsidRDefault="0030325A"/>
                  <w:p w14:paraId="379FC620" w14:textId="77777777" w:rsidR="0030325A" w:rsidRDefault="0030325A"/>
                </w:txbxContent>
              </v:textbox>
              <w10:wrap anchorx="page" anchory="page"/>
              <w10:anchorlock/>
            </v:shape>
          </w:pict>
        </mc:Fallback>
      </mc:AlternateContent>
    </w:r>
  </w:p>
  <w:p w14:paraId="379FC60A"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97148496">
    <w:abstractNumId w:val="14"/>
  </w:num>
  <w:num w:numId="2" w16cid:durableId="1742479404">
    <w:abstractNumId w:val="14"/>
  </w:num>
  <w:num w:numId="3" w16cid:durableId="365102320">
    <w:abstractNumId w:val="14"/>
  </w:num>
  <w:num w:numId="4" w16cid:durableId="242377365">
    <w:abstractNumId w:val="9"/>
  </w:num>
  <w:num w:numId="5" w16cid:durableId="235362995">
    <w:abstractNumId w:val="7"/>
  </w:num>
  <w:num w:numId="6" w16cid:durableId="1937133775">
    <w:abstractNumId w:val="6"/>
  </w:num>
  <w:num w:numId="7" w16cid:durableId="94912698">
    <w:abstractNumId w:val="5"/>
  </w:num>
  <w:num w:numId="8" w16cid:durableId="1021590970">
    <w:abstractNumId w:val="4"/>
  </w:num>
  <w:num w:numId="9" w16cid:durableId="219901631">
    <w:abstractNumId w:val="8"/>
  </w:num>
  <w:num w:numId="10" w16cid:durableId="1776051014">
    <w:abstractNumId w:val="3"/>
  </w:num>
  <w:num w:numId="11" w16cid:durableId="1891918445">
    <w:abstractNumId w:val="2"/>
  </w:num>
  <w:num w:numId="12" w16cid:durableId="1773625775">
    <w:abstractNumId w:val="1"/>
  </w:num>
  <w:num w:numId="13" w16cid:durableId="428046360">
    <w:abstractNumId w:val="0"/>
  </w:num>
  <w:num w:numId="14" w16cid:durableId="1789082079">
    <w:abstractNumId w:val="10"/>
  </w:num>
  <w:num w:numId="15" w16cid:durableId="1168596390">
    <w:abstractNumId w:val="12"/>
  </w:num>
  <w:num w:numId="16" w16cid:durableId="1677490843">
    <w:abstractNumId w:val="17"/>
  </w:num>
  <w:num w:numId="17" w16cid:durableId="1632781243">
    <w:abstractNumId w:val="16"/>
  </w:num>
  <w:num w:numId="18" w16cid:durableId="1729840446">
    <w:abstractNumId w:val="11"/>
  </w:num>
  <w:num w:numId="19" w16cid:durableId="1589923713">
    <w:abstractNumId w:val="18"/>
  </w:num>
  <w:num w:numId="20" w16cid:durableId="1795949406">
    <w:abstractNumId w:val="13"/>
  </w:num>
  <w:num w:numId="21" w16cid:durableId="1597202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33E85"/>
    <w:rsid w:val="000549BB"/>
    <w:rsid w:val="00066312"/>
    <w:rsid w:val="00072EF1"/>
    <w:rsid w:val="00075F18"/>
    <w:rsid w:val="000762F4"/>
    <w:rsid w:val="00084C84"/>
    <w:rsid w:val="000D31D6"/>
    <w:rsid w:val="000E145C"/>
    <w:rsid w:val="000F08E6"/>
    <w:rsid w:val="00125CBC"/>
    <w:rsid w:val="00126981"/>
    <w:rsid w:val="001D43CB"/>
    <w:rsid w:val="001F34BC"/>
    <w:rsid w:val="00237016"/>
    <w:rsid w:val="00263455"/>
    <w:rsid w:val="002A64C4"/>
    <w:rsid w:val="002B40A8"/>
    <w:rsid w:val="002C48B0"/>
    <w:rsid w:val="002D14FE"/>
    <w:rsid w:val="002F1193"/>
    <w:rsid w:val="0030325A"/>
    <w:rsid w:val="00361861"/>
    <w:rsid w:val="003B57FA"/>
    <w:rsid w:val="004C4D7F"/>
    <w:rsid w:val="004E6656"/>
    <w:rsid w:val="005101EE"/>
    <w:rsid w:val="00571880"/>
    <w:rsid w:val="00575DCC"/>
    <w:rsid w:val="00640B76"/>
    <w:rsid w:val="006A73E9"/>
    <w:rsid w:val="006F2DDA"/>
    <w:rsid w:val="00702A97"/>
    <w:rsid w:val="007635FF"/>
    <w:rsid w:val="00763C97"/>
    <w:rsid w:val="007C038E"/>
    <w:rsid w:val="008172AA"/>
    <w:rsid w:val="00825491"/>
    <w:rsid w:val="00826948"/>
    <w:rsid w:val="00831917"/>
    <w:rsid w:val="00876C9F"/>
    <w:rsid w:val="008A02A9"/>
    <w:rsid w:val="008F6430"/>
    <w:rsid w:val="00912A5E"/>
    <w:rsid w:val="00921D12"/>
    <w:rsid w:val="009775EA"/>
    <w:rsid w:val="00992C80"/>
    <w:rsid w:val="009C28F6"/>
    <w:rsid w:val="00A002EC"/>
    <w:rsid w:val="00A470A1"/>
    <w:rsid w:val="00A6475E"/>
    <w:rsid w:val="00A87307"/>
    <w:rsid w:val="00AF4232"/>
    <w:rsid w:val="00B00282"/>
    <w:rsid w:val="00B16E41"/>
    <w:rsid w:val="00B21874"/>
    <w:rsid w:val="00B46357"/>
    <w:rsid w:val="00B70522"/>
    <w:rsid w:val="00BA10F6"/>
    <w:rsid w:val="00BB2246"/>
    <w:rsid w:val="00BB3CA3"/>
    <w:rsid w:val="00BF1217"/>
    <w:rsid w:val="00C13CA2"/>
    <w:rsid w:val="00CF582D"/>
    <w:rsid w:val="00CF661E"/>
    <w:rsid w:val="00D01908"/>
    <w:rsid w:val="00D6031C"/>
    <w:rsid w:val="00D8712E"/>
    <w:rsid w:val="00D96119"/>
    <w:rsid w:val="00DA1385"/>
    <w:rsid w:val="00DB13DC"/>
    <w:rsid w:val="00E01AAC"/>
    <w:rsid w:val="00EA1FA7"/>
    <w:rsid w:val="00ED6DF1"/>
    <w:rsid w:val="00F06873"/>
    <w:rsid w:val="00F13FBF"/>
    <w:rsid w:val="00F4387B"/>
    <w:rsid w:val="00F91BDA"/>
    <w:rsid w:val="00FB23C1"/>
    <w:rsid w:val="00FC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45C"/>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rsid w:val="004E6656"/>
    <w:rPr>
      <w:sz w:val="16"/>
      <w:szCs w:val="16"/>
    </w:rPr>
  </w:style>
  <w:style w:type="paragraph" w:styleId="Tekstopmerking">
    <w:name w:val="annotation text"/>
    <w:basedOn w:val="Standaard"/>
    <w:link w:val="TekstopmerkingChar"/>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7DCA01418274B8A60A6E2496555D7" ma:contentTypeVersion="4" ma:contentTypeDescription="Een nieuw document maken." ma:contentTypeScope="" ma:versionID="6a25a1f2f2b95e9a5a1d3066e89fbdd7">
  <xsd:schema xmlns:xsd="http://www.w3.org/2001/XMLSchema" xmlns:xs="http://www.w3.org/2001/XMLSchema" xmlns:p="http://schemas.microsoft.com/office/2006/metadata/properties" xmlns:ns2="e4293f9c-eee0-4e0a-a6f0-bd2507e46f91" targetNamespace="http://schemas.microsoft.com/office/2006/metadata/properties" ma:root="true" ma:fieldsID="b2ae5119b6ecd74181bd502708a1cfad" ns2:_="">
    <xsd:import namespace="e4293f9c-eee0-4e0a-a6f0-bd2507e46f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93f9c-eee0-4e0a-a6f0-bd2507e46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0CCC2-3A27-477F-9F01-89F3F5D8E60F}"/>
</file>

<file path=customXml/itemProps2.xml><?xml version="1.0" encoding="utf-8"?>
<ds:datastoreItem xmlns:ds="http://schemas.openxmlformats.org/officeDocument/2006/customXml" ds:itemID="{E77FC90A-85DE-4732-A63A-F6EE6E321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191F7-A886-41B3-B853-C0506BC54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Template>
  <TotalTime>1</TotalTime>
  <Pages>4</Pages>
  <Words>448</Words>
  <Characters>3129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Hein Machielse - HIP</cp:lastModifiedBy>
  <cp:revision>5</cp:revision>
  <cp:lastPrinted>2023-03-29T12:48:00Z</cp:lastPrinted>
  <dcterms:created xsi:type="dcterms:W3CDTF">2024-07-01T11:30:00Z</dcterms:created>
  <dcterms:modified xsi:type="dcterms:W3CDTF">2024-11-07T12:08:00Z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0x0101008007DCA01418274B8A60A6E2496555D7</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43</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167</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9369862b-909c-4bf9-87ea-3ce141883b67</vt:lpwstr>
  </property>
  <property fmtid="{D5CDD505-2E9C-101B-9397-08002B2CF9AE}" pid="101" name="COADocumenttype">
    <vt:lpwstr>Werkinstructie</vt:lpwstr>
  </property>
  <property fmtid="{D5CDD505-2E9C-101B-9397-08002B2CF9AE}" pid="102" name="wiq8">
    <vt:lpwstr>Beschrijvend document</vt:lpwstr>
  </property>
  <property fmtid="{D5CDD505-2E9C-101B-9397-08002B2CF9AE}" pid="103" name="_docset_NoMedatataSyncRequired">
    <vt:lpwstr>False</vt:lpwstr>
  </property>
</Properties>
</file>