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5510D508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89698D">
        <w:rPr>
          <w:b w:val="0"/>
          <w:sz w:val="26"/>
          <w:szCs w:val="26"/>
        </w:rPr>
        <w:t>Formulier 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F7C88A9" w14:textId="77777777" w:rsidR="00D0566A" w:rsidRDefault="00D0566A" w:rsidP="00D0566A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Huur mobiele camerabeveiliging</w:t>
      </w:r>
    </w:p>
    <w:p w14:paraId="2DA267E8" w14:textId="5BEE9D61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D0566A">
        <w:rPr>
          <w:b w:val="0"/>
          <w:sz w:val="26"/>
          <w:szCs w:val="26"/>
        </w:rPr>
        <w:t>m</w:t>
      </w:r>
      <w:r w:rsidR="0089698D">
        <w:rPr>
          <w:b w:val="0"/>
          <w:sz w:val="26"/>
          <w:szCs w:val="26"/>
        </w:rPr>
        <w:t>inisterie van Defensie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DB02C" w14:textId="00A72A7A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5-02-21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650F5" w:rsidRPr="002650F5">
                                  <w:rPr>
                                    <w:color w:val="FFFFFF" w:themeColor="background1"/>
                                  </w:rPr>
                                  <w:t>21-2-2025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726DB02C" w14:textId="00A72A7A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5-02-21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650F5" w:rsidRPr="002650F5">
                            <w:rPr>
                              <w:color w:val="FFFFFF" w:themeColor="background1"/>
                            </w:rPr>
                            <w:t>21-2-2025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  <w:bookmarkStart w:id="0" w:name="_GoBack"/>
      <w:bookmarkEnd w:id="0"/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56340980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</w:t>
      </w:r>
      <w:r w:rsidR="001A60E6" w:rsidRPr="0089698D">
        <w:t xml:space="preserve">eschikt. </w:t>
      </w:r>
      <w:r w:rsidR="00CD5778" w:rsidRPr="0089698D">
        <w:t>Een referentie mag meerdere malen worden opgevoerd</w:t>
      </w:r>
      <w:r w:rsidR="00775BE8" w:rsidRPr="0089698D">
        <w:t xml:space="preserve"> om te voldoen </w:t>
      </w:r>
      <w:r w:rsidR="00CD5778" w:rsidRPr="0089698D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69086BFD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 xml:space="preserve">over de kerncompetenties beschikt door middel </w:t>
      </w:r>
      <w:r w:rsidR="00C61733" w:rsidRPr="0089698D">
        <w:t xml:space="preserve">van één of meer </w:t>
      </w:r>
      <w:r w:rsidR="00FA497E" w:rsidRPr="0089698D">
        <w:t>o</w:t>
      </w:r>
      <w:r w:rsidR="00C61733" w:rsidRPr="0089698D">
        <w:t xml:space="preserve">pdrachten die </w:t>
      </w:r>
      <w:r w:rsidR="00FA497E" w:rsidRPr="0089698D">
        <w:t xml:space="preserve">u heeft </w:t>
      </w:r>
      <w:r w:rsidR="00C61733" w:rsidRPr="0089698D">
        <w:t xml:space="preserve">uitgevoerd in de afgelopen </w:t>
      </w:r>
      <w:r w:rsidR="00E86977" w:rsidRPr="0089698D">
        <w:t xml:space="preserve">drie </w:t>
      </w:r>
      <w:r w:rsidR="00C61733" w:rsidRPr="0089698D">
        <w:t>(</w:t>
      </w:r>
      <w:r w:rsidR="00E86977" w:rsidRPr="0089698D">
        <w:t>3</w:t>
      </w:r>
      <w:r w:rsidR="00C61733" w:rsidRPr="0089698D">
        <w:t xml:space="preserve">) </w:t>
      </w:r>
      <w:r w:rsidR="00E86977" w:rsidRPr="0089698D">
        <w:t>jaar</w:t>
      </w:r>
      <w:r w:rsidR="00C61733" w:rsidRPr="0089698D">
        <w:t>, gerekend</w:t>
      </w:r>
      <w:r w:rsidR="00C61733">
        <w:t xml:space="preserve"> vanaf de datum van </w:t>
      </w:r>
      <w:r w:rsidR="0089698D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leiden tot uitsluiting of afwijzing;</w:t>
      </w:r>
    </w:p>
    <w:p w14:paraId="66D177D2" w14:textId="3D5B5A36" w:rsidR="00852988" w:rsidRPr="0089698D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9698D">
        <w:t xml:space="preserve">U </w:t>
      </w:r>
      <w:r w:rsidR="00852988" w:rsidRPr="0089698D">
        <w:t xml:space="preserve">mag de Aanbestedende dienst </w:t>
      </w:r>
      <w:r w:rsidR="00E63A07" w:rsidRPr="0089698D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5434C6F0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834E20">
        <w:t xml:space="preserve"> U mag in totaal maximaal </w:t>
      </w:r>
      <w:r w:rsidR="00B649DC">
        <w:t>3</w:t>
      </w:r>
      <w:r w:rsidR="00834E20">
        <w:t xml:space="preserve"> referentieopdrachten indienen.</w:t>
      </w:r>
      <w:r w:rsidR="00D51C2B">
        <w:t xml:space="preserve"> </w:t>
      </w:r>
      <w:r w:rsidR="008455A3"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04B82A52" w14:textId="142EC115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1A60E6">
        <w:t xml:space="preserve"> de juiste kerncompetentie(s) </w:t>
      </w:r>
      <w:r w:rsidR="00E63A07">
        <w:t>in deel 1</w:t>
      </w:r>
      <w:r>
        <w:t xml:space="preserve"> aan te kruisen</w:t>
      </w:r>
      <w:r w:rsidR="00E63A07">
        <w:t>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tbl>
      <w:tblPr>
        <w:tblpPr w:leftFromText="141" w:rightFromText="141" w:vertAnchor="page" w:horzAnchor="margin" w:tblpY="2161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B649DC" w:rsidRPr="00A55CC0" w14:paraId="3512D8B4" w14:textId="77777777" w:rsidTr="00B649DC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1C44F00A" w14:textId="77777777" w:rsidR="00B649DC" w:rsidRDefault="00B649DC" w:rsidP="00B649DC">
            <w:pPr>
              <w:spacing w:line="280" w:lineRule="atLeast"/>
              <w:jc w:val="center"/>
              <w:rPr>
                <w:rFonts w:eastAsia="MS Mincho"/>
                <w:b/>
                <w:color w:val="FFFFFF" w:themeColor="background1"/>
                <w:kern w:val="28"/>
                <w:sz w:val="24"/>
              </w:rPr>
            </w:pPr>
            <w:bookmarkStart w:id="1" w:name="_Toc430424057"/>
            <w:r w:rsidRPr="0089698D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1"/>
            <w:r w:rsidRPr="0089698D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opdracht EA </w:t>
            </w:r>
            <w:r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Huur m</w:t>
            </w:r>
            <w:r w:rsidRPr="0089698D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obiele </w:t>
            </w:r>
            <w:r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camerabeveiliging</w:t>
            </w:r>
            <w:r w:rsidRPr="0089698D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 </w:t>
            </w:r>
          </w:p>
          <w:p w14:paraId="1BB976E4" w14:textId="77777777" w:rsidR="00B649DC" w:rsidRPr="00A55CC0" w:rsidRDefault="00B649DC" w:rsidP="00B649DC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r w:rsidRPr="0089698D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t.b.v. </w:t>
            </w:r>
            <w:r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m</w:t>
            </w:r>
            <w:r w:rsidRPr="0089698D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inisterie van Defensie</w:t>
            </w:r>
          </w:p>
        </w:tc>
      </w:tr>
      <w:tr w:rsidR="00B649DC" w:rsidRPr="00C51CD9" w14:paraId="03655629" w14:textId="77777777" w:rsidTr="00B649DC">
        <w:trPr>
          <w:cantSplit/>
        </w:trPr>
        <w:tc>
          <w:tcPr>
            <w:tcW w:w="3681" w:type="dxa"/>
            <w:shd w:val="clear" w:color="auto" w:fill="D5F1FF"/>
          </w:tcPr>
          <w:p w14:paraId="2F103CFF" w14:textId="77777777" w:rsidR="00B649DC" w:rsidRPr="00C51CD9" w:rsidRDefault="00B649DC" w:rsidP="00B649DC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1D00C0AE" w14:textId="77777777" w:rsidR="00B649DC" w:rsidRPr="00DC16F4" w:rsidRDefault="00B649DC" w:rsidP="00B649DC">
            <w:pPr>
              <w:pStyle w:val="Lijstaline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</w:pPr>
            <w:r w:rsidRPr="00DC16F4">
              <w:t>Ervaring met het leveren en gebruiksklaar m</w:t>
            </w:r>
            <w:r>
              <w:t>aken van 10 mobiele detectie</w:t>
            </w:r>
            <w:r w:rsidRPr="00DC16F4">
              <w:t xml:space="preserve">camera’s op </w:t>
            </w:r>
            <w:r>
              <w:t xml:space="preserve">één locatie </w:t>
            </w:r>
            <w:r w:rsidRPr="00DC16F4">
              <w:t>in</w:t>
            </w:r>
            <w:r>
              <w:t xml:space="preserve"> </w:t>
            </w:r>
            <w:r w:rsidRPr="00DC16F4">
              <w:t>Ned</w:t>
            </w:r>
            <w:r>
              <w:t>erland binnen één overeenkomst.</w:t>
            </w:r>
          </w:p>
          <w:p w14:paraId="40EC95F9" w14:textId="77777777" w:rsidR="00B649DC" w:rsidRDefault="00B649DC" w:rsidP="00B649DC">
            <w:pPr>
              <w:pStyle w:val="Lijstalinea"/>
              <w:autoSpaceDE w:val="0"/>
              <w:autoSpaceDN w:val="0"/>
              <w:adjustRightInd w:val="0"/>
              <w:spacing w:line="240" w:lineRule="auto"/>
              <w:ind w:left="541"/>
            </w:pPr>
          </w:p>
          <w:p w14:paraId="4F42453A" w14:textId="77777777" w:rsidR="00B649DC" w:rsidRPr="00DC16F4" w:rsidRDefault="00B649DC" w:rsidP="00B649DC">
            <w:pPr>
              <w:pStyle w:val="Lijstaline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</w:pPr>
            <w:r w:rsidRPr="00DC16F4">
              <w:t>Ervaring met het leveren en gebruiksklaar m</w:t>
            </w:r>
            <w:r>
              <w:t>aken van mobiele detectie</w:t>
            </w:r>
            <w:r w:rsidRPr="00DC16F4">
              <w:t>camera’s op geografisch gespreide locaties in minimaal drie provincies in</w:t>
            </w:r>
            <w:r>
              <w:t xml:space="preserve"> </w:t>
            </w:r>
            <w:r w:rsidRPr="00DC16F4">
              <w:t>Nederland binnen één overeenkomst (dit mag ook een raamovereenkomst zijn)</w:t>
            </w:r>
            <w:r>
              <w:t>.</w:t>
            </w:r>
          </w:p>
          <w:p w14:paraId="3C669EC2" w14:textId="77777777" w:rsidR="00B649DC" w:rsidRPr="00DC16F4" w:rsidRDefault="00B649DC" w:rsidP="00B649DC">
            <w:pPr>
              <w:pStyle w:val="Lijstalinea"/>
              <w:autoSpaceDE w:val="0"/>
              <w:autoSpaceDN w:val="0"/>
              <w:adjustRightInd w:val="0"/>
              <w:spacing w:line="240" w:lineRule="auto"/>
              <w:ind w:left="541"/>
            </w:pPr>
          </w:p>
          <w:p w14:paraId="47E54667" w14:textId="77777777" w:rsidR="00B649DC" w:rsidRPr="00481C54" w:rsidRDefault="00B649DC" w:rsidP="00B649DC">
            <w:pPr>
              <w:pStyle w:val="Lijstalinea"/>
              <w:numPr>
                <w:ilvl w:val="0"/>
                <w:numId w:val="29"/>
              </w:num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rFonts w:eastAsia="CIDFont+F10"/>
              </w:rPr>
              <w:t>Ervaring met het binnen vier uur na melding van een probleem of klacht uitvoeren van inspecties en daaruitvoorvloeiende reparaties/onderhoud. Inschrijver dient dit aan te tonen door bijvoorbeeld een overeenkomst met daarin opgenomen een KPI van 4 uur of minder en/of een document waaruit een standaardwerkwijze blijkt die voldoet aan de eis.</w:t>
            </w:r>
          </w:p>
          <w:p w14:paraId="41CAB3A9" w14:textId="77777777" w:rsidR="00B649DC" w:rsidRDefault="00B649DC" w:rsidP="00B649DC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rFonts w:eastAsia="MS Mincho"/>
                <w:i/>
                <w:szCs w:val="20"/>
              </w:rPr>
            </w:pPr>
            <w:r>
              <w:rPr>
                <w:rFonts w:eastAsia="MS Mincho"/>
                <w:i/>
                <w:szCs w:val="20"/>
              </w:rPr>
              <w:t xml:space="preserve">        </w:t>
            </w:r>
          </w:p>
          <w:p w14:paraId="185B36DC" w14:textId="77777777" w:rsidR="00B649DC" w:rsidRPr="00B649DC" w:rsidRDefault="00B649DC" w:rsidP="00B649DC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i/>
                <w:szCs w:val="20"/>
              </w:rPr>
            </w:pPr>
            <w:r w:rsidRPr="00B649DC">
              <w:rPr>
                <w:rFonts w:eastAsia="MS Mincho"/>
                <w:b/>
                <w:i/>
                <w:szCs w:val="20"/>
              </w:rPr>
              <w:t>Svp aankruisen wat van toepassing is</w:t>
            </w:r>
          </w:p>
          <w:p w14:paraId="7E544EF0" w14:textId="77777777" w:rsidR="00B649DC" w:rsidRPr="00481C54" w:rsidRDefault="00B649DC" w:rsidP="00B649DC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</w:tr>
      <w:tr w:rsidR="00B649DC" w:rsidRPr="00952775" w14:paraId="624B8998" w14:textId="77777777" w:rsidTr="00B649DC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61A717DE" w14:textId="77777777" w:rsidR="00B649DC" w:rsidRPr="00952775" w:rsidRDefault="00B649DC" w:rsidP="00B649DC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B649DC" w:rsidRPr="00952775" w14:paraId="7BAE9EA2" w14:textId="77777777" w:rsidTr="00B649DC">
        <w:trPr>
          <w:cantSplit/>
        </w:trPr>
        <w:tc>
          <w:tcPr>
            <w:tcW w:w="3681" w:type="dxa"/>
            <w:shd w:val="clear" w:color="auto" w:fill="D5F1FF"/>
          </w:tcPr>
          <w:p w14:paraId="06EA8648" w14:textId="77777777" w:rsidR="00B649DC" w:rsidRPr="00952775" w:rsidRDefault="00B649DC" w:rsidP="00B649DC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6E2E2782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B649DC" w:rsidRPr="00952775" w14:paraId="1E8F2080" w14:textId="77777777" w:rsidTr="00B649DC">
        <w:trPr>
          <w:cantSplit/>
        </w:trPr>
        <w:tc>
          <w:tcPr>
            <w:tcW w:w="3681" w:type="dxa"/>
            <w:shd w:val="clear" w:color="auto" w:fill="D5F1FF"/>
          </w:tcPr>
          <w:p w14:paraId="7508A928" w14:textId="77777777" w:rsidR="00B649DC" w:rsidRPr="00952775" w:rsidRDefault="00B649DC" w:rsidP="00B649DC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684E4A8E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B649DC" w:rsidRPr="00952775" w14:paraId="1826037B" w14:textId="77777777" w:rsidTr="00B649DC">
        <w:trPr>
          <w:cantSplit/>
        </w:trPr>
        <w:tc>
          <w:tcPr>
            <w:tcW w:w="3681" w:type="dxa"/>
            <w:shd w:val="clear" w:color="auto" w:fill="D5F1FF"/>
          </w:tcPr>
          <w:p w14:paraId="73DE8C17" w14:textId="77777777" w:rsidR="00B649DC" w:rsidRPr="00952775" w:rsidRDefault="00B649DC" w:rsidP="00B649DC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3BB13409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B649DC" w:rsidRPr="00952775" w14:paraId="0CF37A07" w14:textId="77777777" w:rsidTr="00B649DC">
        <w:trPr>
          <w:cantSplit/>
        </w:trPr>
        <w:tc>
          <w:tcPr>
            <w:tcW w:w="3681" w:type="dxa"/>
            <w:shd w:val="clear" w:color="auto" w:fill="D5F1FF"/>
          </w:tcPr>
          <w:p w14:paraId="056040BB" w14:textId="77777777" w:rsidR="00B649DC" w:rsidRPr="00952775" w:rsidRDefault="00B649DC" w:rsidP="00B649DC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589FFE81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B649DC" w:rsidRPr="00952775" w14:paraId="54A16183" w14:textId="77777777" w:rsidTr="00B649DC">
        <w:trPr>
          <w:cantSplit/>
        </w:trPr>
        <w:tc>
          <w:tcPr>
            <w:tcW w:w="3681" w:type="dxa"/>
            <w:shd w:val="clear" w:color="auto" w:fill="D5F1FF"/>
          </w:tcPr>
          <w:p w14:paraId="739D05E1" w14:textId="77777777" w:rsidR="00B649DC" w:rsidRPr="00952775" w:rsidRDefault="00B649DC" w:rsidP="00B649DC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69F77070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B649DC" w:rsidRPr="00952775" w14:paraId="72B0F8CA" w14:textId="77777777" w:rsidTr="00B649DC">
        <w:trPr>
          <w:cantSplit/>
        </w:trPr>
        <w:tc>
          <w:tcPr>
            <w:tcW w:w="3681" w:type="dxa"/>
            <w:shd w:val="clear" w:color="auto" w:fill="D5F1FF"/>
          </w:tcPr>
          <w:p w14:paraId="4E26BCD9" w14:textId="77777777" w:rsidR="00B649DC" w:rsidRPr="00952775" w:rsidRDefault="00B649DC" w:rsidP="00B649DC">
            <w:pPr>
              <w:tabs>
                <w:tab w:val="left" w:pos="1843"/>
              </w:tabs>
            </w:pPr>
            <w:r>
              <w:t>E-mailadres</w:t>
            </w:r>
          </w:p>
        </w:tc>
        <w:tc>
          <w:tcPr>
            <w:tcW w:w="5288" w:type="dxa"/>
          </w:tcPr>
          <w:p w14:paraId="3F27BE01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B649DC" w:rsidRPr="00952775" w14:paraId="1DF6C55A" w14:textId="77777777" w:rsidTr="00B649DC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0A4541B7" w14:textId="77777777" w:rsidR="00B649DC" w:rsidRPr="00952775" w:rsidRDefault="00B649DC" w:rsidP="00B649DC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>
              <w:rPr>
                <w:b/>
              </w:rPr>
              <w:t>informatie r</w:t>
            </w:r>
            <w:r w:rsidRPr="00952775">
              <w:rPr>
                <w:b/>
              </w:rPr>
              <w:t>eferentieopdracht</w:t>
            </w:r>
          </w:p>
        </w:tc>
      </w:tr>
      <w:tr w:rsidR="00B649DC" w:rsidRPr="00952775" w14:paraId="5AF06B18" w14:textId="77777777" w:rsidTr="00B649DC">
        <w:trPr>
          <w:cantSplit/>
        </w:trPr>
        <w:tc>
          <w:tcPr>
            <w:tcW w:w="3681" w:type="dxa"/>
            <w:shd w:val="clear" w:color="auto" w:fill="D5F1FF"/>
          </w:tcPr>
          <w:p w14:paraId="1EFDC632" w14:textId="77777777" w:rsidR="00B649DC" w:rsidRPr="00952775" w:rsidRDefault="00B649DC" w:rsidP="00B649DC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08A91DFF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B649DC" w:rsidRPr="00952775" w14:paraId="52CF9D78" w14:textId="77777777" w:rsidTr="00B649DC">
        <w:trPr>
          <w:cantSplit/>
        </w:trPr>
        <w:tc>
          <w:tcPr>
            <w:tcW w:w="3681" w:type="dxa"/>
            <w:shd w:val="clear" w:color="auto" w:fill="D5F1FF"/>
          </w:tcPr>
          <w:p w14:paraId="54495F0B" w14:textId="77777777" w:rsidR="00B649DC" w:rsidRPr="00952775" w:rsidRDefault="00B649DC" w:rsidP="00B649DC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DD01558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B649DC" w:rsidRPr="00952775" w14:paraId="7A77DBDC" w14:textId="77777777" w:rsidTr="00B649DC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01D8EFE5" w14:textId="77777777" w:rsidR="00B649DC" w:rsidRPr="00952775" w:rsidRDefault="00B649DC" w:rsidP="00B649DC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B649DC" w:rsidRPr="00952775" w14:paraId="5D19ED76" w14:textId="77777777" w:rsidTr="00B649DC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633A858D" w14:textId="77777777" w:rsidR="00B649DC" w:rsidRPr="00952775" w:rsidRDefault="00B649DC" w:rsidP="00B649DC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57226217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B649DC" w:rsidRPr="00952775" w14:paraId="6CA3BE5A" w14:textId="77777777" w:rsidTr="00B649DC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46B7B14B" w14:textId="77777777" w:rsidR="00B649DC" w:rsidRPr="00952775" w:rsidRDefault="00B649DC" w:rsidP="00B649DC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10195387" w14:textId="77777777" w:rsidR="00B649DC" w:rsidRDefault="00B649DC" w:rsidP="00B649DC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36A62E3F" w14:textId="77777777" w:rsidR="00B649DC" w:rsidRPr="00952775" w:rsidRDefault="00B649DC" w:rsidP="00B649DC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</w:p>
        </w:tc>
        <w:tc>
          <w:tcPr>
            <w:tcW w:w="5288" w:type="dxa"/>
          </w:tcPr>
          <w:p w14:paraId="2048F650" w14:textId="77777777" w:rsidR="00B649DC" w:rsidRDefault="00B649DC" w:rsidP="00B649D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A1E2338" w14:textId="77777777" w:rsidR="00B649DC" w:rsidRDefault="00B649DC" w:rsidP="00B649D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6139F21C" w14:textId="77777777" w:rsidR="00B649DC" w:rsidRDefault="00B649DC" w:rsidP="00B649D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070A030D" w14:textId="77777777" w:rsidR="00B649DC" w:rsidRDefault="00B649DC" w:rsidP="00B649D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623CC43" w14:textId="77777777" w:rsidR="00B649DC" w:rsidRDefault="00B649DC" w:rsidP="00B649D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65FE534" w14:textId="77777777" w:rsidR="00B649DC" w:rsidRDefault="00B649DC" w:rsidP="00B649D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67E8E4F0" w14:textId="77777777" w:rsidR="00B649DC" w:rsidRPr="00952775" w:rsidRDefault="00B649DC" w:rsidP="00B649D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B649DC" w:rsidRPr="00952775" w14:paraId="733D6A23" w14:textId="77777777" w:rsidTr="00B649DC">
        <w:trPr>
          <w:cantSplit/>
        </w:trPr>
        <w:tc>
          <w:tcPr>
            <w:tcW w:w="3681" w:type="dxa"/>
            <w:shd w:val="clear" w:color="auto" w:fill="D5F1FF"/>
          </w:tcPr>
          <w:p w14:paraId="60CA6380" w14:textId="77777777" w:rsidR="00B649DC" w:rsidRDefault="00B649DC" w:rsidP="00B649DC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inschrijver</w:t>
            </w:r>
          </w:p>
          <w:p w14:paraId="4F58196A" w14:textId="77777777" w:rsidR="00B649DC" w:rsidRPr="00952775" w:rsidRDefault="00B649DC" w:rsidP="00B649DC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01D3D147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6103522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6D336DE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FECA124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3EEA84A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5BAD9EC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C473809" w14:textId="77777777" w:rsidR="00B649DC" w:rsidRPr="00952775" w:rsidRDefault="00B649DC" w:rsidP="00B649D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0970046E" w14:textId="77777777" w:rsidR="001A60E6" w:rsidRPr="00952775" w:rsidRDefault="001A60E6" w:rsidP="001A60E6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31D6DF06" w:rsidR="00D858E5" w:rsidRDefault="00D858E5" w:rsidP="00BF0365">
          <w:pPr>
            <w:widowControl w:val="0"/>
            <w:rPr>
              <w:rStyle w:val="Huisstijl-Rubricering"/>
            </w:rPr>
          </w:pPr>
        </w:p>
      </w:tc>
      <w:tc>
        <w:tcPr>
          <w:tcW w:w="2811" w:type="dxa"/>
          <w:shd w:val="clear" w:color="auto" w:fill="auto"/>
        </w:tcPr>
        <w:p w14:paraId="75E50F99" w14:textId="12B067B0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650F5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650F5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6BAF9F71" w:rsidR="00D858E5" w:rsidRDefault="00696B68" w:rsidP="00D0566A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Pr="0089698D">
            <w:rPr>
              <w:rStyle w:val="Huisstijl-Koptekst"/>
            </w:rPr>
            <w:t>C</w:t>
          </w:r>
          <w:r w:rsidR="0089698D">
            <w:rPr>
              <w:rStyle w:val="Huisstijl-Koptekst"/>
            </w:rPr>
            <w:t xml:space="preserve"> </w:t>
          </w:r>
          <w:r w:rsidR="001A60E6" w:rsidRPr="0089698D">
            <w:rPr>
              <w:rStyle w:val="Huisstijl-Koptekst"/>
            </w:rPr>
            <w:t>Referentieformulier</w:t>
          </w:r>
          <w:r w:rsidR="00476D3C" w:rsidRPr="0089698D">
            <w:rPr>
              <w:rStyle w:val="Huisstijl-Koptekst"/>
            </w:rPr>
            <w:t xml:space="preserve"> </w:t>
          </w:r>
          <w:r w:rsidR="00D858E5" w:rsidRPr="0089698D">
            <w:rPr>
              <w:rStyle w:val="Huisstijl-Koptekst"/>
            </w:rPr>
            <w:t xml:space="preserve">| </w:t>
          </w:r>
          <w:r w:rsidR="00476D3C" w:rsidRPr="0089698D">
            <w:rPr>
              <w:rStyle w:val="Huisstijl-Koptekst"/>
            </w:rPr>
            <w:t>EA ‘</w:t>
          </w:r>
          <w:r w:rsidR="00D0566A">
            <w:rPr>
              <w:rStyle w:val="Huisstijl-Koptekst"/>
            </w:rPr>
            <w:t>Huur m</w:t>
          </w:r>
          <w:r w:rsidR="0089698D">
            <w:rPr>
              <w:rStyle w:val="Huisstijl-Koptekst"/>
            </w:rPr>
            <w:t xml:space="preserve">obiele </w:t>
          </w:r>
          <w:r w:rsidR="00D0566A">
            <w:rPr>
              <w:rStyle w:val="Huisstijl-Koptekst"/>
            </w:rPr>
            <w:t>camera</w:t>
          </w:r>
          <w:r w:rsidR="0089698D">
            <w:rPr>
              <w:rStyle w:val="Huisstijl-Koptekst"/>
            </w:rPr>
            <w:t xml:space="preserve">beveiliging t.b.v. </w:t>
          </w:r>
          <w:r w:rsidR="00D0566A">
            <w:rPr>
              <w:rStyle w:val="Huisstijl-Koptekst"/>
            </w:rPr>
            <w:t>m</w:t>
          </w:r>
          <w:r w:rsidR="0089698D">
            <w:rPr>
              <w:rStyle w:val="Huisstijl-Koptekst"/>
            </w:rPr>
            <w:t>inisterie van Defensie</w:t>
          </w:r>
          <w:r w:rsidR="00B649DC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43F23"/>
    <w:multiLevelType w:val="hybridMultilevel"/>
    <w:tmpl w:val="BAE451E6"/>
    <w:lvl w:ilvl="0" w:tplc="ACC0D2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25311"/>
    <w:multiLevelType w:val="hybridMultilevel"/>
    <w:tmpl w:val="FC3A097E"/>
    <w:lvl w:ilvl="0" w:tplc="C96A9B2E">
      <w:start w:val="1"/>
      <w:numFmt w:val="bullet"/>
      <w:lvlText w:val=""/>
      <w:lvlJc w:val="left"/>
      <w:pPr>
        <w:ind w:left="724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2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30F8C"/>
    <w:multiLevelType w:val="hybridMultilevel"/>
    <w:tmpl w:val="4EE418CA"/>
    <w:lvl w:ilvl="0" w:tplc="C96A9B2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B2B2B"/>
    <w:multiLevelType w:val="hybridMultilevel"/>
    <w:tmpl w:val="512A3B8E"/>
    <w:lvl w:ilvl="0" w:tplc="ACC0D2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8"/>
  </w:num>
  <w:num w:numId="3">
    <w:abstractNumId w:val="0"/>
  </w:num>
  <w:num w:numId="4">
    <w:abstractNumId w:val="27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6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0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 w:numId="26">
    <w:abstractNumId w:val="19"/>
  </w:num>
  <w:num w:numId="27">
    <w:abstractNumId w:val="21"/>
  </w:num>
  <w:num w:numId="28">
    <w:abstractNumId w:val="23"/>
  </w:num>
  <w:num w:numId="29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650F5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1C54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698D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9DC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0566A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2A9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D72E-03FB-412C-8382-6456AA6A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Waterreus, Jolanda</cp:lastModifiedBy>
  <cp:revision>6</cp:revision>
  <cp:lastPrinted>2022-01-28T09:54:00Z</cp:lastPrinted>
  <dcterms:created xsi:type="dcterms:W3CDTF">2024-07-09T09:46:00Z</dcterms:created>
  <dcterms:modified xsi:type="dcterms:W3CDTF">2025-02-20T13:43:00Z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