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86" w:rsidRDefault="00A4055F">
      <w:pPr>
        <w:rPr>
          <w:rFonts w:ascii="Arial Bold" w:eastAsia="Arial Bold" w:hAnsi="Arial Bold" w:cs="Arial Bold"/>
          <w:sz w:val="22"/>
          <w:szCs w:val="22"/>
        </w:rPr>
      </w:pPr>
      <w:r>
        <w:t xml:space="preserve">Bijlage 2B: </w:t>
      </w:r>
      <w:r>
        <w:rPr>
          <w:rFonts w:ascii="Arial Bold"/>
          <w:sz w:val="22"/>
          <w:szCs w:val="22"/>
        </w:rPr>
        <w:t>Invulinstructie</w:t>
      </w:r>
    </w:p>
    <w:p w:rsidR="00E77486" w:rsidRDefault="00E77486">
      <w:pPr>
        <w:rPr>
          <w:rFonts w:ascii="Arial" w:eastAsia="Arial" w:hAnsi="Arial" w:cs="Arial"/>
          <w:sz w:val="22"/>
          <w:szCs w:val="22"/>
        </w:rPr>
      </w:pPr>
    </w:p>
    <w:p w:rsidR="00E77486" w:rsidRDefault="00A4055F">
      <w:pPr>
        <w:rPr>
          <w:rFonts w:ascii="Arial" w:eastAsia="Arial" w:hAnsi="Arial" w:cs="Arial"/>
          <w:i/>
          <w:iCs/>
          <w:sz w:val="22"/>
          <w:szCs w:val="22"/>
        </w:rPr>
      </w:pPr>
      <w:r>
        <w:rPr>
          <w:rFonts w:ascii="Arial"/>
          <w:i/>
          <w:iCs/>
          <w:sz w:val="22"/>
          <w:szCs w:val="22"/>
        </w:rPr>
        <w:t>Beantwoording</w:t>
      </w:r>
    </w:p>
    <w:p w:rsidR="00E77486" w:rsidRDefault="00A4055F">
      <w:pPr>
        <w:rPr>
          <w:rFonts w:ascii="Arial" w:eastAsia="Arial" w:hAnsi="Arial" w:cs="Arial"/>
          <w:sz w:val="22"/>
          <w:szCs w:val="22"/>
        </w:rPr>
      </w:pPr>
      <w:r>
        <w:rPr>
          <w:rFonts w:ascii="Arial"/>
          <w:sz w:val="22"/>
          <w:szCs w:val="22"/>
        </w:rPr>
        <w:t>In bijlage 2A worden vragen gesteld die de deelnemende marktpartijen kunnen beantwoorden. Indien u op bepaalde vraag geen antwoord kunt geven, dient u aan te geven waarom u geen antwoord kunt geven op de desbetreffende vraag.</w:t>
      </w:r>
    </w:p>
    <w:p w:rsidR="00E77486" w:rsidRDefault="00E77486">
      <w:pPr>
        <w:rPr>
          <w:rFonts w:ascii="Arial" w:eastAsia="Arial" w:hAnsi="Arial" w:cs="Arial"/>
          <w:sz w:val="22"/>
          <w:szCs w:val="22"/>
        </w:rPr>
      </w:pPr>
    </w:p>
    <w:p w:rsidR="00E77486" w:rsidRDefault="00A4055F">
      <w:pPr>
        <w:rPr>
          <w:rFonts w:ascii="Arial" w:eastAsia="Arial" w:hAnsi="Arial" w:cs="Arial"/>
          <w:i/>
          <w:iCs/>
          <w:sz w:val="22"/>
          <w:szCs w:val="22"/>
        </w:rPr>
      </w:pPr>
      <w:r>
        <w:rPr>
          <w:rFonts w:ascii="Arial"/>
          <w:i/>
          <w:iCs/>
          <w:sz w:val="22"/>
          <w:szCs w:val="22"/>
        </w:rPr>
        <w:t>Rode rijen</w:t>
      </w:r>
    </w:p>
    <w:p w:rsidR="00E77486" w:rsidRDefault="00A4055F">
      <w:pPr>
        <w:rPr>
          <w:rFonts w:ascii="Arial" w:eastAsia="Arial" w:hAnsi="Arial" w:cs="Arial"/>
          <w:sz w:val="22"/>
          <w:szCs w:val="22"/>
        </w:rPr>
      </w:pPr>
      <w:r>
        <w:rPr>
          <w:rFonts w:ascii="Arial"/>
          <w:sz w:val="22"/>
          <w:szCs w:val="22"/>
        </w:rPr>
        <w:t xml:space="preserve">De rode rijen in het Excel sheet in bijlage 2A niet invullen. </w:t>
      </w:r>
    </w:p>
    <w:p w:rsidR="00E77486" w:rsidRDefault="00E77486">
      <w:pPr>
        <w:rPr>
          <w:rFonts w:ascii="Arial" w:eastAsia="Arial" w:hAnsi="Arial" w:cs="Arial"/>
          <w:sz w:val="22"/>
          <w:szCs w:val="22"/>
        </w:rPr>
      </w:pPr>
    </w:p>
    <w:p w:rsidR="00E77486" w:rsidRDefault="00A4055F">
      <w:pPr>
        <w:rPr>
          <w:rFonts w:ascii="Arial" w:eastAsia="Arial" w:hAnsi="Arial" w:cs="Arial"/>
          <w:i/>
          <w:iCs/>
          <w:sz w:val="22"/>
          <w:szCs w:val="22"/>
        </w:rPr>
      </w:pPr>
      <w:r>
        <w:rPr>
          <w:rFonts w:ascii="Arial"/>
          <w:i/>
          <w:iCs/>
          <w:sz w:val="22"/>
          <w:szCs w:val="22"/>
        </w:rPr>
        <w:t>Termen:</w:t>
      </w:r>
      <w:r>
        <w:rPr>
          <w:rFonts w:ascii="Arial"/>
          <w:i/>
          <w:iCs/>
          <w:sz w:val="22"/>
          <w:szCs w:val="22"/>
        </w:rPr>
        <w:tab/>
      </w:r>
    </w:p>
    <w:p w:rsidR="00E77486" w:rsidRDefault="00A4055F">
      <w:pPr>
        <w:rPr>
          <w:rFonts w:ascii="Arial" w:eastAsia="Arial" w:hAnsi="Arial" w:cs="Arial"/>
          <w:sz w:val="22"/>
          <w:szCs w:val="22"/>
        </w:rPr>
      </w:pPr>
      <w:r>
        <w:rPr>
          <w:rFonts w:ascii="Arial"/>
          <w:sz w:val="22"/>
          <w:szCs w:val="22"/>
        </w:rPr>
        <w:t>PGB</w:t>
      </w:r>
      <w:r>
        <w:rPr>
          <w:rFonts w:ascii="Arial"/>
          <w:sz w:val="22"/>
          <w:szCs w:val="22"/>
        </w:rPr>
        <w:tab/>
        <w:t>Persoonsgebonden budget</w:t>
      </w:r>
    </w:p>
    <w:p w:rsidR="00E77486" w:rsidRDefault="00A4055F">
      <w:pPr>
        <w:rPr>
          <w:rFonts w:ascii="Arial" w:eastAsia="Arial" w:hAnsi="Arial" w:cs="Arial"/>
          <w:sz w:val="22"/>
          <w:szCs w:val="22"/>
        </w:rPr>
      </w:pPr>
      <w:r>
        <w:rPr>
          <w:rFonts w:ascii="Arial"/>
          <w:sz w:val="22"/>
          <w:szCs w:val="22"/>
        </w:rPr>
        <w:t>ZIN</w:t>
      </w:r>
      <w:r>
        <w:rPr>
          <w:rFonts w:ascii="Arial"/>
          <w:sz w:val="22"/>
          <w:szCs w:val="22"/>
        </w:rPr>
        <w:tab/>
        <w:t xml:space="preserve">Zorg in </w:t>
      </w:r>
      <w:proofErr w:type="spellStart"/>
      <w:r>
        <w:rPr>
          <w:rFonts w:ascii="Arial"/>
          <w:sz w:val="22"/>
          <w:szCs w:val="22"/>
        </w:rPr>
        <w:t>natura</w:t>
      </w:r>
      <w:proofErr w:type="spellEnd"/>
    </w:p>
    <w:p w:rsidR="00E77486" w:rsidRDefault="00E77486">
      <w:pPr>
        <w:rPr>
          <w:rFonts w:ascii="Arial" w:eastAsia="Arial" w:hAnsi="Arial" w:cs="Arial"/>
          <w:sz w:val="22"/>
          <w:szCs w:val="22"/>
        </w:rPr>
      </w:pPr>
    </w:p>
    <w:p w:rsidR="00E77486" w:rsidRDefault="00A7528F">
      <w:pPr>
        <w:rPr>
          <w:rFonts w:ascii="Arial" w:eastAsia="Arial" w:hAnsi="Arial" w:cs="Arial"/>
          <w:i/>
          <w:iCs/>
          <w:sz w:val="22"/>
          <w:szCs w:val="22"/>
        </w:rPr>
      </w:pPr>
      <w:r>
        <w:rPr>
          <w:rFonts w:ascii="Arial"/>
          <w:i/>
          <w:iCs/>
          <w:sz w:val="22"/>
          <w:szCs w:val="22"/>
        </w:rPr>
        <w:t>Huidige i</w:t>
      </w:r>
      <w:r w:rsidR="00A4055F">
        <w:rPr>
          <w:rFonts w:ascii="Arial"/>
          <w:i/>
          <w:iCs/>
          <w:sz w:val="22"/>
          <w:szCs w:val="22"/>
        </w:rPr>
        <w:t>ndicatie/</w:t>
      </w:r>
      <w:proofErr w:type="spellStart"/>
      <w:r w:rsidR="00A4055F">
        <w:rPr>
          <w:rFonts w:ascii="Arial"/>
          <w:i/>
          <w:iCs/>
          <w:sz w:val="22"/>
          <w:szCs w:val="22"/>
        </w:rPr>
        <w:t>financierder</w:t>
      </w:r>
      <w:proofErr w:type="spellEnd"/>
      <w:r w:rsidR="00A4055F">
        <w:rPr>
          <w:rFonts w:ascii="Arial"/>
          <w:i/>
          <w:iCs/>
          <w:sz w:val="22"/>
          <w:szCs w:val="22"/>
        </w:rPr>
        <w:t>:</w:t>
      </w:r>
      <w:r w:rsidR="00A4055F">
        <w:rPr>
          <w:rFonts w:ascii="Arial"/>
          <w:i/>
          <w:iCs/>
          <w:sz w:val="22"/>
          <w:szCs w:val="22"/>
        </w:rPr>
        <w:tab/>
      </w:r>
    </w:p>
    <w:p w:rsidR="00E77486" w:rsidRDefault="00A4055F">
      <w:pPr>
        <w:rPr>
          <w:rFonts w:ascii="Arial" w:eastAsia="Arial" w:hAnsi="Arial" w:cs="Arial"/>
          <w:sz w:val="22"/>
          <w:szCs w:val="22"/>
        </w:rPr>
      </w:pPr>
      <w:r>
        <w:rPr>
          <w:rFonts w:ascii="Arial"/>
          <w:sz w:val="22"/>
          <w:szCs w:val="22"/>
        </w:rPr>
        <w:t xml:space="preserve">- jeugdhulp: </w:t>
      </w:r>
      <w:r w:rsidR="008B5016">
        <w:rPr>
          <w:rFonts w:ascii="Arial"/>
          <w:sz w:val="22"/>
          <w:szCs w:val="22"/>
        </w:rPr>
        <w:t>BJZ -&gt;</w:t>
      </w:r>
      <w:r w:rsidR="00A7528F">
        <w:rPr>
          <w:rFonts w:ascii="Arial"/>
          <w:sz w:val="22"/>
          <w:szCs w:val="22"/>
        </w:rPr>
        <w:t xml:space="preserve"> </w:t>
      </w:r>
      <w:r>
        <w:rPr>
          <w:rFonts w:ascii="Arial"/>
          <w:sz w:val="22"/>
          <w:szCs w:val="22"/>
        </w:rPr>
        <w:t>doeluitkering provincie Gelderland</w:t>
      </w:r>
      <w:r>
        <w:rPr>
          <w:rFonts w:ascii="Arial"/>
          <w:sz w:val="22"/>
          <w:szCs w:val="22"/>
        </w:rPr>
        <w:tab/>
      </w:r>
    </w:p>
    <w:p w:rsidR="00E77486" w:rsidRDefault="00A4055F">
      <w:pPr>
        <w:rPr>
          <w:rFonts w:ascii="Arial" w:eastAsia="Arial" w:hAnsi="Arial" w:cs="Arial"/>
          <w:sz w:val="22"/>
          <w:szCs w:val="22"/>
        </w:rPr>
      </w:pPr>
      <w:r>
        <w:rPr>
          <w:rFonts w:ascii="Arial"/>
          <w:sz w:val="22"/>
          <w:szCs w:val="22"/>
        </w:rPr>
        <w:t xml:space="preserve">- GGZ: </w:t>
      </w:r>
      <w:proofErr w:type="spellStart"/>
      <w:r>
        <w:rPr>
          <w:rFonts w:ascii="Arial"/>
          <w:sz w:val="22"/>
          <w:szCs w:val="22"/>
        </w:rPr>
        <w:t>huis</w:t>
      </w:r>
      <w:r w:rsidR="008B5016">
        <w:rPr>
          <w:rFonts w:ascii="Arial"/>
          <w:sz w:val="22"/>
          <w:szCs w:val="22"/>
        </w:rPr>
        <w:t>-</w:t>
      </w:r>
      <w:proofErr w:type="spellEnd"/>
      <w:r w:rsidR="008B5016">
        <w:rPr>
          <w:rFonts w:ascii="Arial"/>
          <w:sz w:val="22"/>
          <w:szCs w:val="22"/>
        </w:rPr>
        <w:t xml:space="preserve">, </w:t>
      </w:r>
      <w:proofErr w:type="spellStart"/>
      <w:r w:rsidR="008B5016">
        <w:rPr>
          <w:rFonts w:ascii="Arial"/>
          <w:sz w:val="22"/>
          <w:szCs w:val="22"/>
        </w:rPr>
        <w:t>jeugd-</w:t>
      </w:r>
      <w:proofErr w:type="spellEnd"/>
      <w:r w:rsidR="008B5016">
        <w:rPr>
          <w:rFonts w:ascii="Arial"/>
          <w:sz w:val="22"/>
          <w:szCs w:val="22"/>
        </w:rPr>
        <w:t>, kinder</w:t>
      </w:r>
      <w:r>
        <w:rPr>
          <w:rFonts w:ascii="Arial"/>
          <w:sz w:val="22"/>
          <w:szCs w:val="22"/>
        </w:rPr>
        <w:t>arts/BJZ -&gt; zorg</w:t>
      </w:r>
      <w:r w:rsidR="008B5016">
        <w:rPr>
          <w:rFonts w:ascii="Arial"/>
          <w:sz w:val="22"/>
          <w:szCs w:val="22"/>
        </w:rPr>
        <w:t>verzekeraar</w:t>
      </w:r>
    </w:p>
    <w:p w:rsidR="00E77486" w:rsidRDefault="00A4055F">
      <w:pPr>
        <w:rPr>
          <w:rFonts w:ascii="Arial" w:eastAsia="Arial" w:hAnsi="Arial" w:cs="Arial"/>
          <w:sz w:val="22"/>
          <w:szCs w:val="22"/>
        </w:rPr>
      </w:pPr>
      <w:r>
        <w:rPr>
          <w:rFonts w:ascii="Arial"/>
          <w:sz w:val="22"/>
          <w:szCs w:val="22"/>
        </w:rPr>
        <w:t>- LVB: CIZ/BJZ -&gt;zorgkantoor</w:t>
      </w:r>
      <w:r>
        <w:rPr>
          <w:rFonts w:ascii="Arial"/>
          <w:sz w:val="22"/>
          <w:szCs w:val="22"/>
        </w:rPr>
        <w:tab/>
      </w:r>
    </w:p>
    <w:p w:rsidR="00E77486" w:rsidRDefault="00A4055F">
      <w:pPr>
        <w:rPr>
          <w:rFonts w:ascii="Arial" w:eastAsia="Arial" w:hAnsi="Arial" w:cs="Arial"/>
          <w:sz w:val="22"/>
          <w:szCs w:val="22"/>
        </w:rPr>
      </w:pPr>
      <w:r>
        <w:rPr>
          <w:rFonts w:ascii="Arial" w:eastAsia="Arial" w:hAnsi="Arial" w:cs="Arial"/>
          <w:sz w:val="22"/>
          <w:szCs w:val="22"/>
        </w:rPr>
        <w:tab/>
      </w:r>
    </w:p>
    <w:p w:rsidR="00E77486" w:rsidRDefault="00A4055F">
      <w:pPr>
        <w:rPr>
          <w:rFonts w:ascii="Arial" w:eastAsia="Arial" w:hAnsi="Arial" w:cs="Arial"/>
          <w:sz w:val="22"/>
          <w:szCs w:val="22"/>
        </w:rPr>
      </w:pPr>
      <w:r>
        <w:rPr>
          <w:rFonts w:ascii="Arial"/>
          <w:sz w:val="22"/>
          <w:szCs w:val="22"/>
        </w:rPr>
        <w:t xml:space="preserve">Geen additionele provinciale of gemeentelijke financieringsstromen meenemen. </w:t>
      </w:r>
      <w:r>
        <w:rPr>
          <w:rFonts w:ascii="Arial"/>
          <w:sz w:val="22"/>
          <w:szCs w:val="22"/>
        </w:rPr>
        <w:tab/>
      </w:r>
    </w:p>
    <w:p w:rsidR="00E77486" w:rsidRDefault="00A4055F">
      <w:pPr>
        <w:rPr>
          <w:rFonts w:ascii="Arial" w:eastAsia="Arial" w:hAnsi="Arial" w:cs="Arial"/>
          <w:sz w:val="22"/>
          <w:szCs w:val="22"/>
        </w:rPr>
      </w:pPr>
      <w:r>
        <w:rPr>
          <w:rFonts w:ascii="Arial" w:eastAsia="Arial" w:hAnsi="Arial" w:cs="Arial"/>
          <w:sz w:val="22"/>
          <w:szCs w:val="22"/>
        </w:rPr>
        <w:tab/>
      </w:r>
    </w:p>
    <w:p w:rsidR="00E77486" w:rsidRDefault="00A4055F">
      <w:pPr>
        <w:rPr>
          <w:rFonts w:ascii="Arial" w:eastAsia="Arial" w:hAnsi="Arial" w:cs="Arial"/>
          <w:i/>
          <w:iCs/>
          <w:sz w:val="22"/>
          <w:szCs w:val="22"/>
        </w:rPr>
      </w:pPr>
      <w:r>
        <w:rPr>
          <w:rFonts w:ascii="Arial"/>
          <w:i/>
          <w:iCs/>
          <w:sz w:val="22"/>
          <w:szCs w:val="22"/>
        </w:rPr>
        <w:t>Budgetten:</w:t>
      </w:r>
      <w:r>
        <w:rPr>
          <w:rFonts w:ascii="Arial"/>
          <w:i/>
          <w:iCs/>
          <w:sz w:val="22"/>
          <w:szCs w:val="22"/>
        </w:rPr>
        <w:tab/>
      </w:r>
    </w:p>
    <w:p w:rsidR="00E77486" w:rsidRDefault="00A4055F">
      <w:pPr>
        <w:rPr>
          <w:rFonts w:ascii="Arial" w:eastAsia="Arial" w:hAnsi="Arial" w:cs="Arial"/>
          <w:sz w:val="22"/>
          <w:szCs w:val="22"/>
        </w:rPr>
      </w:pPr>
      <w:r>
        <w:rPr>
          <w:rFonts w:ascii="Arial"/>
          <w:sz w:val="22"/>
          <w:szCs w:val="22"/>
        </w:rPr>
        <w:t>Uitgaan van werkelijk gedraaide omzet, niet van maximale tarieven of productieafspraken</w:t>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p>
    <w:p w:rsidR="00E77486" w:rsidRDefault="00A4055F">
      <w:pPr>
        <w:rPr>
          <w:rFonts w:ascii="Arial" w:eastAsia="Arial" w:hAnsi="Arial" w:cs="Arial"/>
          <w:i/>
          <w:iCs/>
          <w:sz w:val="22"/>
          <w:szCs w:val="22"/>
        </w:rPr>
      </w:pPr>
      <w:r>
        <w:rPr>
          <w:rFonts w:ascii="Arial"/>
          <w:i/>
          <w:iCs/>
          <w:sz w:val="22"/>
          <w:szCs w:val="22"/>
        </w:rPr>
        <w:t>Kosten, incl. overhead</w:t>
      </w:r>
      <w:r>
        <w:rPr>
          <w:rFonts w:ascii="Arial"/>
          <w:i/>
          <w:iCs/>
          <w:sz w:val="22"/>
          <w:szCs w:val="22"/>
        </w:rPr>
        <w:tab/>
      </w:r>
      <w:r>
        <w:rPr>
          <w:rFonts w:ascii="Arial"/>
          <w:i/>
          <w:iCs/>
          <w:sz w:val="22"/>
          <w:szCs w:val="22"/>
        </w:rPr>
        <w:tab/>
      </w:r>
      <w:r>
        <w:rPr>
          <w:rFonts w:ascii="Arial"/>
          <w:i/>
          <w:iCs/>
          <w:sz w:val="22"/>
          <w:szCs w:val="22"/>
        </w:rPr>
        <w:tab/>
      </w:r>
      <w:r>
        <w:rPr>
          <w:rFonts w:ascii="Arial"/>
          <w:i/>
          <w:iCs/>
          <w:sz w:val="22"/>
          <w:szCs w:val="22"/>
        </w:rPr>
        <w:tab/>
      </w:r>
      <w:r>
        <w:rPr>
          <w:rFonts w:ascii="Arial"/>
          <w:i/>
          <w:iCs/>
          <w:sz w:val="22"/>
          <w:szCs w:val="22"/>
        </w:rPr>
        <w:tab/>
      </w:r>
      <w:r>
        <w:rPr>
          <w:rFonts w:ascii="Arial"/>
          <w:i/>
          <w:iCs/>
          <w:sz w:val="22"/>
          <w:szCs w:val="22"/>
        </w:rPr>
        <w:tab/>
      </w:r>
      <w:r>
        <w:rPr>
          <w:rFonts w:ascii="Arial"/>
          <w:i/>
          <w:iCs/>
          <w:sz w:val="22"/>
          <w:szCs w:val="22"/>
        </w:rPr>
        <w:tab/>
      </w:r>
      <w:r>
        <w:rPr>
          <w:rFonts w:ascii="Arial"/>
          <w:i/>
          <w:iCs/>
          <w:sz w:val="22"/>
          <w:szCs w:val="22"/>
        </w:rPr>
        <w:tab/>
      </w:r>
      <w:r>
        <w:rPr>
          <w:rFonts w:ascii="Arial"/>
          <w:i/>
          <w:iCs/>
          <w:sz w:val="22"/>
          <w:szCs w:val="22"/>
        </w:rPr>
        <w:tab/>
      </w:r>
    </w:p>
    <w:p w:rsidR="00E77486" w:rsidRDefault="00A4055F">
      <w:pPr>
        <w:rPr>
          <w:rFonts w:ascii="Arial" w:eastAsia="Arial" w:hAnsi="Arial" w:cs="Arial"/>
          <w:sz w:val="22"/>
          <w:szCs w:val="22"/>
        </w:rPr>
      </w:pPr>
      <w:r>
        <w:rPr>
          <w:rFonts w:ascii="Arial"/>
          <w:sz w:val="22"/>
          <w:szCs w:val="22"/>
        </w:rPr>
        <w:t xml:space="preserve">Het gehele budget opnemen, dus ook al is een deel van de werkzaamheden ondergebracht bij een onderaannemer. De kosten, die in onderaannemerschap worden uitgevoerd, moeten niet opgenomen worden. </w:t>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p>
    <w:p w:rsidR="00E77486" w:rsidRDefault="00A4055F">
      <w:pPr>
        <w:rPr>
          <w:rFonts w:ascii="Arial" w:eastAsia="Arial" w:hAnsi="Arial" w:cs="Arial"/>
          <w:sz w:val="22"/>
          <w:szCs w:val="22"/>
        </w:rPr>
      </w:pPr>
      <w:r>
        <w:rPr>
          <w:rFonts w:ascii="Arial"/>
          <w:sz w:val="22"/>
          <w:szCs w:val="22"/>
        </w:rPr>
        <w:t>Het gaat om de budgetten van de gedecentraliseerde taken richting de gemeenten en vallend onder de Jeugdwet. Voor de preventieve taken jeugd GGZ, waarvan de financiering is komen te vervallen, graag apart vermelden.</w:t>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p>
    <w:p w:rsidR="00E77486" w:rsidRDefault="00A4055F">
      <w:pPr>
        <w:rPr>
          <w:rFonts w:ascii="Arial" w:eastAsia="Arial" w:hAnsi="Arial" w:cs="Arial"/>
          <w:i/>
          <w:iCs/>
          <w:sz w:val="22"/>
          <w:szCs w:val="22"/>
        </w:rPr>
      </w:pPr>
      <w:r>
        <w:rPr>
          <w:rFonts w:ascii="Arial"/>
          <w:i/>
          <w:iCs/>
          <w:sz w:val="22"/>
          <w:szCs w:val="22"/>
        </w:rPr>
        <w:t>Woonplaatsbeginsel:</w:t>
      </w:r>
      <w:r>
        <w:rPr>
          <w:rFonts w:ascii="Arial"/>
          <w:i/>
          <w:iCs/>
          <w:sz w:val="22"/>
          <w:szCs w:val="22"/>
        </w:rPr>
        <w:tab/>
      </w:r>
      <w:r>
        <w:rPr>
          <w:rFonts w:ascii="Arial"/>
          <w:i/>
          <w:iCs/>
          <w:sz w:val="22"/>
          <w:szCs w:val="22"/>
        </w:rPr>
        <w:tab/>
      </w:r>
      <w:r>
        <w:rPr>
          <w:rFonts w:ascii="Arial"/>
          <w:i/>
          <w:iCs/>
          <w:sz w:val="22"/>
          <w:szCs w:val="22"/>
        </w:rPr>
        <w:tab/>
      </w:r>
      <w:r>
        <w:rPr>
          <w:rFonts w:ascii="Arial"/>
          <w:i/>
          <w:iCs/>
          <w:sz w:val="22"/>
          <w:szCs w:val="22"/>
        </w:rPr>
        <w:tab/>
      </w:r>
      <w:r>
        <w:rPr>
          <w:rFonts w:ascii="Arial"/>
          <w:i/>
          <w:iCs/>
          <w:sz w:val="22"/>
          <w:szCs w:val="22"/>
        </w:rPr>
        <w:tab/>
      </w:r>
      <w:r>
        <w:rPr>
          <w:rFonts w:ascii="Arial"/>
          <w:i/>
          <w:iCs/>
          <w:sz w:val="22"/>
          <w:szCs w:val="22"/>
        </w:rPr>
        <w:tab/>
      </w:r>
      <w:r>
        <w:rPr>
          <w:rFonts w:ascii="Arial"/>
          <w:i/>
          <w:iCs/>
          <w:sz w:val="22"/>
          <w:szCs w:val="22"/>
        </w:rPr>
        <w:tab/>
      </w:r>
      <w:r>
        <w:rPr>
          <w:rFonts w:ascii="Arial"/>
          <w:i/>
          <w:iCs/>
          <w:sz w:val="22"/>
          <w:szCs w:val="22"/>
        </w:rPr>
        <w:tab/>
      </w:r>
      <w:r>
        <w:rPr>
          <w:rFonts w:ascii="Arial"/>
          <w:i/>
          <w:iCs/>
          <w:sz w:val="22"/>
          <w:szCs w:val="22"/>
        </w:rPr>
        <w:tab/>
      </w:r>
    </w:p>
    <w:p w:rsidR="00E77486" w:rsidRDefault="00A4055F">
      <w:pPr>
        <w:rPr>
          <w:rFonts w:ascii="Arial" w:eastAsia="Arial" w:hAnsi="Arial" w:cs="Arial"/>
          <w:sz w:val="22"/>
          <w:szCs w:val="22"/>
        </w:rPr>
      </w:pPr>
      <w:r>
        <w:rPr>
          <w:sz w:val="22"/>
          <w:szCs w:val="22"/>
        </w:rPr>
        <w:t>–</w:t>
      </w:r>
      <w:r>
        <w:rPr>
          <w:sz w:val="22"/>
          <w:szCs w:val="22"/>
        </w:rPr>
        <w:t xml:space="preserve"> </w:t>
      </w:r>
      <w:r>
        <w:rPr>
          <w:rFonts w:ascii="Arial"/>
          <w:sz w:val="22"/>
          <w:szCs w:val="22"/>
        </w:rPr>
        <w:t>woonplaats:</w:t>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p>
    <w:p w:rsidR="00E77486" w:rsidRDefault="00A4055F">
      <w:pPr>
        <w:rPr>
          <w:rFonts w:ascii="Arial" w:eastAsia="Arial" w:hAnsi="Arial" w:cs="Arial"/>
          <w:sz w:val="22"/>
          <w:szCs w:val="22"/>
        </w:rPr>
      </w:pPr>
      <w:r>
        <w:rPr>
          <w:rFonts w:ascii="Arial"/>
          <w:sz w:val="22"/>
          <w:szCs w:val="22"/>
        </w:rPr>
        <w:t>1</w:t>
      </w:r>
      <w:r>
        <w:rPr>
          <w:sz w:val="22"/>
          <w:szCs w:val="22"/>
        </w:rPr>
        <w:t>°</w:t>
      </w:r>
      <w:r>
        <w:rPr>
          <w:rFonts w:ascii="Arial"/>
          <w:sz w:val="22"/>
          <w:szCs w:val="22"/>
        </w:rPr>
        <w:t>. woonplaats als bedoeld in artikel 12 van Boek 1 van het Burgerlijk Wetboek;</w:t>
      </w:r>
      <w:r>
        <w:rPr>
          <w:rFonts w:ascii="Arial"/>
          <w:sz w:val="22"/>
          <w:szCs w:val="22"/>
        </w:rPr>
        <w:tab/>
      </w:r>
      <w:r>
        <w:rPr>
          <w:rFonts w:ascii="Arial"/>
          <w:sz w:val="22"/>
          <w:szCs w:val="22"/>
        </w:rPr>
        <w:tab/>
      </w:r>
    </w:p>
    <w:p w:rsidR="00E77486" w:rsidRDefault="00A4055F">
      <w:pPr>
        <w:rPr>
          <w:rFonts w:ascii="Arial" w:eastAsia="Arial" w:hAnsi="Arial" w:cs="Arial"/>
          <w:sz w:val="22"/>
          <w:szCs w:val="22"/>
        </w:rPr>
      </w:pPr>
      <w:r>
        <w:rPr>
          <w:rFonts w:ascii="Arial"/>
          <w:sz w:val="22"/>
          <w:szCs w:val="22"/>
        </w:rPr>
        <w:t>2</w:t>
      </w:r>
      <w:r>
        <w:rPr>
          <w:sz w:val="22"/>
          <w:szCs w:val="22"/>
        </w:rPr>
        <w:t>°</w:t>
      </w:r>
      <w:r>
        <w:rPr>
          <w:rFonts w:ascii="Arial"/>
          <w:sz w:val="22"/>
          <w:szCs w:val="22"/>
        </w:rPr>
        <w:t>. ingeval de voogdij over de jeugdige berust bij een instelling als bedoeld in artikel 302 van Boek 1 van het Burgerlijk Wetboek: de plaats van het werkelijke verblijf van de jeugdige;</w:t>
      </w:r>
    </w:p>
    <w:p w:rsidR="00E77486" w:rsidRDefault="00A4055F">
      <w:pPr>
        <w:rPr>
          <w:rFonts w:ascii="Arial" w:eastAsia="Arial" w:hAnsi="Arial" w:cs="Arial"/>
          <w:sz w:val="22"/>
          <w:szCs w:val="22"/>
        </w:rPr>
      </w:pPr>
      <w:r>
        <w:rPr>
          <w:rFonts w:ascii="Arial"/>
          <w:sz w:val="22"/>
          <w:szCs w:val="22"/>
        </w:rPr>
        <w:t>3</w:t>
      </w:r>
      <w:r>
        <w:rPr>
          <w:sz w:val="22"/>
          <w:szCs w:val="22"/>
        </w:rPr>
        <w:t>°</w:t>
      </w:r>
      <w:r>
        <w:rPr>
          <w:rFonts w:ascii="Arial"/>
          <w:sz w:val="22"/>
          <w:szCs w:val="22"/>
        </w:rPr>
        <w:t>. ingeval de woonplaats, bedoeld onder 1</w:t>
      </w:r>
      <w:r>
        <w:rPr>
          <w:sz w:val="22"/>
          <w:szCs w:val="22"/>
        </w:rPr>
        <w:t>°</w:t>
      </w:r>
      <w:r>
        <w:rPr>
          <w:sz w:val="22"/>
          <w:szCs w:val="22"/>
        </w:rPr>
        <w:t xml:space="preserve"> </w:t>
      </w:r>
      <w:r>
        <w:rPr>
          <w:rFonts w:ascii="Arial"/>
          <w:sz w:val="22"/>
          <w:szCs w:val="22"/>
        </w:rPr>
        <w:t>en 2</w:t>
      </w:r>
      <w:r>
        <w:rPr>
          <w:sz w:val="22"/>
          <w:szCs w:val="22"/>
        </w:rPr>
        <w:t>°</w:t>
      </w:r>
      <w:r>
        <w:rPr>
          <w:rFonts w:ascii="Arial"/>
          <w:sz w:val="22"/>
          <w:szCs w:val="22"/>
        </w:rPr>
        <w:t>, onbekend is dan wel buiten Nederland is: de plaats van het werkelijke verblijf van de jeugdige op het moment van de hulpvraag.</w:t>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p>
    <w:p w:rsidR="00E77486" w:rsidRDefault="00A4055F">
      <w:pPr>
        <w:rPr>
          <w:rFonts w:ascii="Arial" w:eastAsia="Arial" w:hAnsi="Arial" w:cs="Arial"/>
          <w:sz w:val="22"/>
          <w:szCs w:val="22"/>
        </w:rPr>
      </w:pPr>
      <w:r>
        <w:rPr>
          <w:rFonts w:ascii="Arial"/>
          <w:sz w:val="22"/>
          <w:szCs w:val="22"/>
        </w:rPr>
        <w:t xml:space="preserve">Meer informatie over het woonplaatsbeginsel vindt u op </w:t>
      </w:r>
      <w:hyperlink r:id="rId6" w:history="1">
        <w:r>
          <w:rPr>
            <w:rStyle w:val="Hyperlink0"/>
          </w:rPr>
          <w:t>http://www.voordejeugd.nl/actueel/nieuwsberichten/1373-nu-beschikbaar-factsheet-woonplaatsbeginsel-inclusief-mindmap</w:t>
        </w:r>
      </w:hyperlink>
      <w:r>
        <w:rPr>
          <w:rFonts w:ascii="Arial"/>
          <w:sz w:val="22"/>
          <w:szCs w:val="22"/>
        </w:rPr>
        <w:t xml:space="preserve"> </w:t>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p>
    <w:p w:rsidR="00E77486" w:rsidRDefault="00A4055F">
      <w:pPr>
        <w:rPr>
          <w:rFonts w:ascii="Arial" w:eastAsia="Arial" w:hAnsi="Arial" w:cs="Arial"/>
          <w:sz w:val="22"/>
          <w:szCs w:val="22"/>
        </w:rPr>
      </w:pPr>
      <w:r>
        <w:rPr>
          <w:rFonts w:ascii="Arial"/>
          <w:i/>
          <w:iCs/>
          <w:sz w:val="22"/>
          <w:szCs w:val="22"/>
        </w:rPr>
        <w:t>Leeftijd</w:t>
      </w:r>
      <w:r>
        <w:rPr>
          <w:rFonts w:ascii="Arial"/>
          <w:sz w:val="22"/>
          <w:szCs w:val="22"/>
        </w:rPr>
        <w:t>:</w:t>
      </w:r>
      <w:r>
        <w:rPr>
          <w:rFonts w:ascii="Arial"/>
          <w:sz w:val="22"/>
          <w:szCs w:val="22"/>
        </w:rPr>
        <w:tab/>
        <w:t>tot 18 jaar, tenzij verlengde indicaties tot 23 jaar bij provinciale jeugdzorg</w:t>
      </w:r>
      <w:r>
        <w:rPr>
          <w:rFonts w:ascii="Arial"/>
          <w:sz w:val="22"/>
          <w:szCs w:val="22"/>
        </w:rPr>
        <w:tab/>
      </w:r>
      <w:r>
        <w:rPr>
          <w:rFonts w:ascii="Arial"/>
          <w:sz w:val="22"/>
          <w:szCs w:val="22"/>
        </w:rPr>
        <w:tab/>
      </w:r>
      <w:r>
        <w:rPr>
          <w:rFonts w:ascii="Arial"/>
          <w:sz w:val="22"/>
          <w:szCs w:val="22"/>
        </w:rPr>
        <w:tab/>
      </w:r>
      <w:r>
        <w:rPr>
          <w:rFonts w:ascii="Arial"/>
          <w:sz w:val="22"/>
          <w:szCs w:val="22"/>
        </w:rPr>
        <w:tab/>
      </w:r>
      <w:r>
        <w:rPr>
          <w:rFonts w:ascii="Arial"/>
          <w:sz w:val="22"/>
          <w:szCs w:val="22"/>
        </w:rPr>
        <w:tab/>
      </w:r>
    </w:p>
    <w:p w:rsidR="00E77486" w:rsidRDefault="00A4055F">
      <w:pPr>
        <w:rPr>
          <w:rFonts w:ascii="Arial" w:eastAsia="Arial" w:hAnsi="Arial" w:cs="Arial"/>
          <w:i/>
          <w:iCs/>
          <w:sz w:val="22"/>
          <w:szCs w:val="22"/>
        </w:rPr>
      </w:pPr>
      <w:r>
        <w:rPr>
          <w:rFonts w:ascii="Arial"/>
          <w:i/>
          <w:iCs/>
          <w:sz w:val="22"/>
          <w:szCs w:val="22"/>
        </w:rPr>
        <w:t>Verzekerde zorg:</w:t>
      </w:r>
    </w:p>
    <w:p w:rsidR="00E77486" w:rsidRDefault="00A4055F">
      <w:pPr>
        <w:rPr>
          <w:rFonts w:ascii="Arial" w:eastAsia="Arial" w:hAnsi="Arial" w:cs="Arial"/>
          <w:sz w:val="22"/>
          <w:szCs w:val="22"/>
        </w:rPr>
      </w:pPr>
      <w:r>
        <w:rPr>
          <w:rFonts w:ascii="Arial"/>
          <w:sz w:val="22"/>
          <w:szCs w:val="22"/>
        </w:rPr>
        <w:t xml:space="preserve">Bedragen exclusief eventuele overgangsbudgetten die nu bestaan ter compensatie van </w:t>
      </w:r>
      <w:proofErr w:type="spellStart"/>
      <w:r>
        <w:rPr>
          <w:rFonts w:ascii="Arial"/>
          <w:sz w:val="22"/>
          <w:szCs w:val="22"/>
        </w:rPr>
        <w:t>DBC-systematiek</w:t>
      </w:r>
      <w:proofErr w:type="spellEnd"/>
    </w:p>
    <w:p w:rsidR="00E77486" w:rsidRDefault="00A4055F">
      <w:pPr>
        <w:rPr>
          <w:rFonts w:ascii="Arial" w:eastAsia="Arial" w:hAnsi="Arial" w:cs="Arial"/>
          <w:sz w:val="22"/>
          <w:szCs w:val="22"/>
        </w:rPr>
      </w:pPr>
      <w:r>
        <w:rPr>
          <w:rFonts w:ascii="Arial"/>
          <w:sz w:val="22"/>
          <w:szCs w:val="22"/>
        </w:rPr>
        <w:lastRenderedPageBreak/>
        <w:t xml:space="preserve">Bedragen kapitaalslasten volledig op basis van Normatieve </w:t>
      </w:r>
      <w:proofErr w:type="spellStart"/>
      <w:r>
        <w:rPr>
          <w:rFonts w:ascii="Arial"/>
          <w:sz w:val="22"/>
          <w:szCs w:val="22"/>
        </w:rPr>
        <w:t>Huisvestings-component</w:t>
      </w:r>
      <w:proofErr w:type="spellEnd"/>
      <w:r>
        <w:rPr>
          <w:rFonts w:ascii="Arial"/>
          <w:sz w:val="22"/>
          <w:szCs w:val="22"/>
        </w:rPr>
        <w:t xml:space="preserve"> in de </w:t>
      </w:r>
      <w:proofErr w:type="spellStart"/>
      <w:r>
        <w:rPr>
          <w:rFonts w:ascii="Arial"/>
          <w:sz w:val="22"/>
          <w:szCs w:val="22"/>
        </w:rPr>
        <w:t>DBC</w:t>
      </w:r>
      <w:r>
        <w:rPr>
          <w:sz w:val="22"/>
          <w:szCs w:val="22"/>
        </w:rPr>
        <w:t>’</w:t>
      </w:r>
      <w:r>
        <w:rPr>
          <w:rFonts w:ascii="Arial"/>
          <w:sz w:val="22"/>
          <w:szCs w:val="22"/>
        </w:rPr>
        <w:t>s</w:t>
      </w:r>
      <w:proofErr w:type="spellEnd"/>
      <w:r>
        <w:rPr>
          <w:rFonts w:ascii="Arial"/>
          <w:sz w:val="22"/>
          <w:szCs w:val="22"/>
        </w:rPr>
        <w:t xml:space="preserve"> (nacalculatie overgangsregime niet meenemen)</w:t>
      </w:r>
    </w:p>
    <w:p w:rsidR="00E77486" w:rsidRDefault="00A4055F">
      <w:pPr>
        <w:rPr>
          <w:rFonts w:ascii="Arial" w:eastAsia="Arial" w:hAnsi="Arial" w:cs="Arial"/>
          <w:sz w:val="22"/>
          <w:szCs w:val="22"/>
        </w:rPr>
      </w:pPr>
      <w:r>
        <w:rPr>
          <w:rFonts w:ascii="Arial"/>
          <w:sz w:val="22"/>
          <w:szCs w:val="22"/>
        </w:rPr>
        <w:t xml:space="preserve">Onderhanden werk 2012 meenemen apart onderbouwen </w:t>
      </w:r>
    </w:p>
    <w:p w:rsidR="00E77486" w:rsidRDefault="00A4055F">
      <w:pPr>
        <w:rPr>
          <w:rFonts w:ascii="Arial" w:eastAsia="Arial" w:hAnsi="Arial" w:cs="Arial"/>
          <w:sz w:val="22"/>
          <w:szCs w:val="22"/>
        </w:rPr>
      </w:pPr>
      <w:r>
        <w:rPr>
          <w:rFonts w:ascii="Arial"/>
          <w:sz w:val="22"/>
          <w:szCs w:val="22"/>
        </w:rPr>
        <w:t>Bedragen inclusief zorg voor ouders bij behandeling kind</w:t>
      </w:r>
    </w:p>
    <w:p w:rsidR="00E77486" w:rsidRDefault="00A4055F">
      <w:pPr>
        <w:rPr>
          <w:rFonts w:ascii="Arial" w:eastAsia="Arial" w:hAnsi="Arial" w:cs="Arial"/>
          <w:sz w:val="22"/>
          <w:szCs w:val="22"/>
        </w:rPr>
      </w:pPr>
      <w:r>
        <w:rPr>
          <w:rFonts w:ascii="Arial"/>
          <w:sz w:val="22"/>
          <w:szCs w:val="22"/>
        </w:rPr>
        <w:t>Bedragen residenti</w:t>
      </w:r>
      <w:r>
        <w:rPr>
          <w:sz w:val="22"/>
          <w:szCs w:val="22"/>
        </w:rPr>
        <w:t>ë</w:t>
      </w:r>
      <w:r>
        <w:rPr>
          <w:rFonts w:ascii="Arial"/>
          <w:sz w:val="22"/>
          <w:szCs w:val="22"/>
        </w:rPr>
        <w:t>le zorg inclusief psychofarmaca</w:t>
      </w:r>
    </w:p>
    <w:p w:rsidR="00E77486" w:rsidRDefault="00E77486">
      <w:pPr>
        <w:rPr>
          <w:rFonts w:ascii="Arial" w:eastAsia="Arial" w:hAnsi="Arial" w:cs="Arial"/>
          <w:sz w:val="22"/>
          <w:szCs w:val="22"/>
        </w:rPr>
      </w:pPr>
    </w:p>
    <w:p w:rsidR="00E77486" w:rsidRDefault="00A4055F">
      <w:pPr>
        <w:rPr>
          <w:rFonts w:ascii="Arial" w:eastAsia="Arial" w:hAnsi="Arial" w:cs="Arial"/>
          <w:i/>
          <w:iCs/>
          <w:sz w:val="22"/>
          <w:szCs w:val="22"/>
        </w:rPr>
      </w:pPr>
      <w:proofErr w:type="spellStart"/>
      <w:r>
        <w:rPr>
          <w:rFonts w:ascii="Arial"/>
          <w:i/>
          <w:iCs/>
          <w:sz w:val="22"/>
          <w:szCs w:val="22"/>
        </w:rPr>
        <w:t>AWBZ-gefinancieerde</w:t>
      </w:r>
      <w:proofErr w:type="spellEnd"/>
      <w:r>
        <w:rPr>
          <w:rFonts w:ascii="Arial"/>
          <w:i/>
          <w:iCs/>
          <w:sz w:val="22"/>
          <w:szCs w:val="22"/>
        </w:rPr>
        <w:t xml:space="preserve"> zorg</w:t>
      </w:r>
    </w:p>
    <w:p w:rsidR="00E77486" w:rsidRDefault="00A4055F">
      <w:pPr>
        <w:rPr>
          <w:rFonts w:ascii="Arial" w:eastAsia="Arial" w:hAnsi="Arial" w:cs="Arial"/>
          <w:sz w:val="22"/>
          <w:szCs w:val="22"/>
        </w:rPr>
      </w:pPr>
      <w:r>
        <w:rPr>
          <w:rFonts w:ascii="Arial"/>
          <w:sz w:val="22"/>
          <w:szCs w:val="22"/>
        </w:rPr>
        <w:t xml:space="preserve">Correcte afbakening van zorgvormen en grondslagen </w:t>
      </w:r>
      <w:hyperlink r:id="rId7" w:history="1">
        <w:r>
          <w:rPr>
            <w:rStyle w:val="Hyperlink0"/>
          </w:rPr>
          <w:t>http://www.vng.nl/onderwerpenindex/decentralisaties-sociaal-domein/decentralisatie-jeugdzorg/nieuws/overzicht-verdeling-awbz-over-jeugdwet-wmo-2015-wlz-en-zorgverzekeringswet</w:t>
        </w:r>
      </w:hyperlink>
      <w:r>
        <w:rPr>
          <w:rFonts w:ascii="Arial"/>
          <w:sz w:val="22"/>
          <w:szCs w:val="22"/>
        </w:rPr>
        <w:t xml:space="preserve"> </w:t>
      </w:r>
    </w:p>
    <w:p w:rsidR="00E77486" w:rsidRDefault="00A4055F">
      <w:pPr>
        <w:rPr>
          <w:rFonts w:ascii="Arial" w:eastAsia="Arial" w:hAnsi="Arial" w:cs="Arial"/>
          <w:sz w:val="22"/>
          <w:szCs w:val="22"/>
        </w:rPr>
      </w:pPr>
      <w:r>
        <w:rPr>
          <w:rFonts w:ascii="Arial"/>
          <w:sz w:val="22"/>
          <w:szCs w:val="22"/>
        </w:rPr>
        <w:t xml:space="preserve">Bedragen kapitaalslasten volledig op basis van Normatieve </w:t>
      </w:r>
      <w:proofErr w:type="spellStart"/>
      <w:r>
        <w:rPr>
          <w:rFonts w:ascii="Arial"/>
          <w:sz w:val="22"/>
          <w:szCs w:val="22"/>
        </w:rPr>
        <w:t>Huisvestings-component</w:t>
      </w:r>
      <w:proofErr w:type="spellEnd"/>
      <w:r>
        <w:rPr>
          <w:rFonts w:ascii="Arial"/>
          <w:sz w:val="22"/>
          <w:szCs w:val="22"/>
        </w:rPr>
        <w:t xml:space="preserve"> (nacalculatie overgangsregime niet meenemen)</w:t>
      </w:r>
    </w:p>
    <w:p w:rsidR="00E77486" w:rsidRDefault="00A4055F">
      <w:pPr>
        <w:rPr>
          <w:rFonts w:ascii="Arial" w:eastAsia="Arial" w:hAnsi="Arial" w:cs="Arial"/>
          <w:sz w:val="22"/>
          <w:szCs w:val="22"/>
        </w:rPr>
      </w:pPr>
      <w:r>
        <w:rPr>
          <w:rFonts w:ascii="Arial"/>
          <w:sz w:val="22"/>
          <w:szCs w:val="22"/>
        </w:rPr>
        <w:t>Bedragen inclusief kosten voor vervoer</w:t>
      </w:r>
    </w:p>
    <w:p w:rsidR="00E77486" w:rsidRDefault="00E77486">
      <w:pPr>
        <w:rPr>
          <w:rFonts w:ascii="Arial" w:eastAsia="Arial" w:hAnsi="Arial" w:cs="Arial"/>
          <w:sz w:val="22"/>
          <w:szCs w:val="22"/>
        </w:rPr>
      </w:pPr>
    </w:p>
    <w:p w:rsidR="00E77486" w:rsidRDefault="00A4055F">
      <w:pPr>
        <w:rPr>
          <w:rFonts w:ascii="Arial" w:eastAsia="Arial" w:hAnsi="Arial" w:cs="Arial"/>
          <w:i/>
          <w:iCs/>
          <w:sz w:val="22"/>
          <w:szCs w:val="22"/>
        </w:rPr>
      </w:pPr>
      <w:r>
        <w:rPr>
          <w:rFonts w:ascii="Arial"/>
          <w:i/>
          <w:iCs/>
          <w:sz w:val="22"/>
          <w:szCs w:val="22"/>
        </w:rPr>
        <w:t>Landelijke afspraken</w:t>
      </w:r>
    </w:p>
    <w:p w:rsidR="00E77486" w:rsidRDefault="00A4055F">
      <w:pPr>
        <w:rPr>
          <w:rFonts w:ascii="Arial"/>
          <w:sz w:val="22"/>
          <w:szCs w:val="22"/>
        </w:rPr>
      </w:pPr>
      <w:r>
        <w:rPr>
          <w:rFonts w:ascii="Arial"/>
          <w:sz w:val="22"/>
          <w:szCs w:val="22"/>
        </w:rPr>
        <w:t>Indien bepaalde activiteiten van uw organisatie vallen onder de landelijke afspraken (zie onderstaand overzicht) dan kosten graag apart vermelden.</w:t>
      </w:r>
    </w:p>
    <w:p w:rsidR="008636FA" w:rsidRDefault="008636FA">
      <w:pPr>
        <w:rPr>
          <w:rFonts w:ascii="Arial" w:eastAsia="Arial" w:hAnsi="Arial" w:cs="Arial"/>
          <w:sz w:val="22"/>
          <w:szCs w:val="22"/>
        </w:rPr>
      </w:pPr>
      <w:r>
        <w:rPr>
          <w:rFonts w:ascii="Arial"/>
          <w:sz w:val="22"/>
          <w:szCs w:val="22"/>
        </w:rPr>
        <w:t>Omdat deze lijst is gekopieerd uit een ander document is de verwijzing naar de lijst in paragraaf 3.6 niet van toepassing. Het gaat bij deze lijst om het aangeven van de functies.</w:t>
      </w:r>
    </w:p>
    <w:p w:rsidR="00E77486" w:rsidRDefault="00A4055F">
      <w:r>
        <w:rPr>
          <w:rFonts w:ascii="Arial" w:eastAsia="Arial" w:hAnsi="Arial" w:cs="Arial"/>
          <w:noProof/>
          <w:sz w:val="22"/>
          <w:szCs w:val="22"/>
          <w:lang w:val="en-US"/>
        </w:rPr>
        <w:drawing>
          <wp:anchor distT="57150" distB="57150" distL="57150" distR="57150" simplePos="0" relativeHeight="251659264" behindDoc="0" locked="0" layoutInCell="1" allowOverlap="1">
            <wp:simplePos x="0" y="0"/>
            <wp:positionH relativeFrom="column">
              <wp:posOffset>0</wp:posOffset>
            </wp:positionH>
            <wp:positionV relativeFrom="line">
              <wp:posOffset>40004</wp:posOffset>
            </wp:positionV>
            <wp:extent cx="5681980" cy="4650105"/>
            <wp:effectExtent l="0" t="0" r="0" b="0"/>
            <wp:wrapThrough wrapText="bothSides" distL="57150" distR="57150">
              <wp:wrapPolygon edited="1">
                <wp:start x="0" y="0"/>
                <wp:lineTo x="0" y="21624"/>
                <wp:lineTo x="21600" y="21624"/>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a:blip r:embed="rId8" cstate="print">
                      <a:extLst/>
                    </a:blip>
                    <a:stretch>
                      <a:fillRect/>
                    </a:stretch>
                  </pic:blipFill>
                  <pic:spPr>
                    <a:xfrm>
                      <a:off x="0" y="0"/>
                      <a:ext cx="5681980" cy="4650105"/>
                    </a:xfrm>
                    <a:prstGeom prst="rect">
                      <a:avLst/>
                    </a:prstGeom>
                    <a:ln w="12700" cap="flat">
                      <a:noFill/>
                      <a:miter lim="400000"/>
                    </a:ln>
                    <a:effectLst/>
                  </pic:spPr>
                </pic:pic>
              </a:graphicData>
            </a:graphic>
          </wp:anchor>
        </w:drawing>
      </w:r>
    </w:p>
    <w:sectPr w:rsidR="00E77486" w:rsidSect="00E77486">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486" w:rsidRDefault="00E77486" w:rsidP="00E77486">
      <w:r>
        <w:separator/>
      </w:r>
    </w:p>
  </w:endnote>
  <w:endnote w:type="continuationSeparator" w:id="0">
    <w:p w:rsidR="00E77486" w:rsidRDefault="00E77486" w:rsidP="00E77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86" w:rsidRDefault="00A4055F">
    <w:pPr>
      <w:pStyle w:val="Voettekst"/>
      <w:tabs>
        <w:tab w:val="clear" w:pos="9072"/>
        <w:tab w:val="right" w:pos="9046"/>
      </w:tabs>
      <w:jc w:val="right"/>
      <w:rPr>
        <w:rFonts w:ascii="Arial" w:eastAsia="Arial" w:hAnsi="Arial" w:cs="Arial"/>
        <w:sz w:val="14"/>
        <w:szCs w:val="14"/>
        <w:lang w:val="en-US"/>
      </w:rPr>
    </w:pPr>
    <w:proofErr w:type="spellStart"/>
    <w:r>
      <w:rPr>
        <w:rFonts w:ascii="Arial"/>
        <w:sz w:val="14"/>
        <w:szCs w:val="14"/>
        <w:lang w:val="en-US"/>
      </w:rPr>
      <w:t>Pagina</w:t>
    </w:r>
    <w:proofErr w:type="spellEnd"/>
    <w:r>
      <w:rPr>
        <w:rFonts w:ascii="Arial"/>
        <w:sz w:val="14"/>
        <w:szCs w:val="14"/>
        <w:lang w:val="en-US"/>
      </w:rPr>
      <w:t xml:space="preserve"> </w:t>
    </w:r>
    <w:r w:rsidR="00DA3B41">
      <w:rPr>
        <w:rFonts w:ascii="Arial" w:eastAsia="Arial" w:hAnsi="Arial" w:cs="Arial"/>
        <w:sz w:val="14"/>
        <w:szCs w:val="14"/>
        <w:lang w:val="en-US"/>
      </w:rPr>
      <w:fldChar w:fldCharType="begin"/>
    </w:r>
    <w:r>
      <w:rPr>
        <w:rFonts w:ascii="Arial" w:eastAsia="Arial" w:hAnsi="Arial" w:cs="Arial"/>
        <w:sz w:val="14"/>
        <w:szCs w:val="14"/>
        <w:lang w:val="en-US"/>
      </w:rPr>
      <w:instrText xml:space="preserve"> PAGE </w:instrText>
    </w:r>
    <w:r w:rsidR="00DA3B41">
      <w:rPr>
        <w:rFonts w:ascii="Arial" w:eastAsia="Arial" w:hAnsi="Arial" w:cs="Arial"/>
        <w:sz w:val="14"/>
        <w:szCs w:val="14"/>
        <w:lang w:val="en-US"/>
      </w:rPr>
      <w:fldChar w:fldCharType="separate"/>
    </w:r>
    <w:r w:rsidR="008636FA">
      <w:rPr>
        <w:rFonts w:ascii="Arial" w:eastAsia="Arial" w:hAnsi="Arial" w:cs="Arial"/>
        <w:noProof/>
        <w:sz w:val="14"/>
        <w:szCs w:val="14"/>
        <w:lang w:val="en-US"/>
      </w:rPr>
      <w:t>2</w:t>
    </w:r>
    <w:r w:rsidR="00DA3B41">
      <w:rPr>
        <w:rFonts w:ascii="Arial" w:eastAsia="Arial" w:hAnsi="Arial" w:cs="Arial"/>
        <w:sz w:val="14"/>
        <w:szCs w:val="14"/>
        <w:lang w:val="en-US"/>
      </w:rPr>
      <w:fldChar w:fldCharType="end"/>
    </w:r>
    <w:r>
      <w:rPr>
        <w:rFonts w:ascii="Arial"/>
        <w:sz w:val="14"/>
        <w:szCs w:val="14"/>
        <w:lang w:val="en-US"/>
      </w:rPr>
      <w:t xml:space="preserve"> van </w:t>
    </w:r>
    <w:r w:rsidR="00DA3B41">
      <w:rPr>
        <w:rFonts w:ascii="Arial" w:eastAsia="Arial" w:hAnsi="Arial" w:cs="Arial"/>
        <w:sz w:val="14"/>
        <w:szCs w:val="14"/>
        <w:lang w:val="en-US"/>
      </w:rPr>
      <w:fldChar w:fldCharType="begin"/>
    </w:r>
    <w:r>
      <w:rPr>
        <w:rFonts w:ascii="Arial" w:eastAsia="Arial" w:hAnsi="Arial" w:cs="Arial"/>
        <w:sz w:val="14"/>
        <w:szCs w:val="14"/>
        <w:lang w:val="en-US"/>
      </w:rPr>
      <w:instrText xml:space="preserve"> NUMPAGES </w:instrText>
    </w:r>
    <w:r w:rsidR="00DA3B41">
      <w:rPr>
        <w:rFonts w:ascii="Arial" w:eastAsia="Arial" w:hAnsi="Arial" w:cs="Arial"/>
        <w:sz w:val="14"/>
        <w:szCs w:val="14"/>
        <w:lang w:val="en-US"/>
      </w:rPr>
      <w:fldChar w:fldCharType="separate"/>
    </w:r>
    <w:r w:rsidR="008636FA">
      <w:rPr>
        <w:rFonts w:ascii="Arial" w:eastAsia="Arial" w:hAnsi="Arial" w:cs="Arial"/>
        <w:noProof/>
        <w:sz w:val="14"/>
        <w:szCs w:val="14"/>
        <w:lang w:val="en-US"/>
      </w:rPr>
      <w:t>2</w:t>
    </w:r>
    <w:r w:rsidR="00DA3B41">
      <w:rPr>
        <w:rFonts w:ascii="Arial" w:eastAsia="Arial" w:hAnsi="Arial" w:cs="Arial"/>
        <w:sz w:val="14"/>
        <w:szCs w:val="14"/>
        <w:lang w:val="en-US"/>
      </w:rPr>
      <w:fldChar w:fldCharType="end"/>
    </w:r>
  </w:p>
  <w:p w:rsidR="00E77486" w:rsidRPr="008B5016" w:rsidRDefault="00DA3B41">
    <w:pPr>
      <w:pStyle w:val="Voettekst"/>
      <w:tabs>
        <w:tab w:val="clear" w:pos="9072"/>
        <w:tab w:val="right" w:pos="9046"/>
      </w:tabs>
      <w:rPr>
        <w:lang w:val="en-US"/>
      </w:rPr>
    </w:pPr>
    <w:fldSimple w:instr=" FILENAME \* MERGEFORMAT">
      <w:r w:rsidR="00A4055F">
        <w:rPr>
          <w:rFonts w:ascii="Arial"/>
          <w:sz w:val="14"/>
          <w:szCs w:val="14"/>
          <w:lang w:val="en-US"/>
        </w:rPr>
        <w:t>C:\Documents and Settings\administrator\Application Data\Microsoft\Templates\Normal.dot</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486" w:rsidRDefault="00E77486" w:rsidP="00E77486">
      <w:r>
        <w:separator/>
      </w:r>
    </w:p>
  </w:footnote>
  <w:footnote w:type="continuationSeparator" w:id="0">
    <w:p w:rsidR="00E77486" w:rsidRDefault="00E77486" w:rsidP="00E77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86" w:rsidRDefault="00E77486">
    <w:pPr>
      <w:pStyle w:val="Kop-envoet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E77486"/>
    <w:rsid w:val="008636FA"/>
    <w:rsid w:val="008B5016"/>
    <w:rsid w:val="00A4055F"/>
    <w:rsid w:val="00A7528F"/>
    <w:rsid w:val="00DA3B41"/>
    <w:rsid w:val="00E774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E77486"/>
    <w:rPr>
      <w:rFonts w:hAnsi="Arial Unicode MS" w:cs="Arial Unicode MS"/>
      <w:color w:val="000000"/>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E77486"/>
    <w:rPr>
      <w:u w:val="single"/>
    </w:rPr>
  </w:style>
  <w:style w:type="table" w:customStyle="1" w:styleId="TableNormal">
    <w:name w:val="Table Normal"/>
    <w:rsid w:val="00E77486"/>
    <w:tblPr>
      <w:tblInd w:w="0" w:type="dxa"/>
      <w:tblCellMar>
        <w:top w:w="0" w:type="dxa"/>
        <w:left w:w="0" w:type="dxa"/>
        <w:bottom w:w="0" w:type="dxa"/>
        <w:right w:w="0" w:type="dxa"/>
      </w:tblCellMar>
    </w:tblPr>
  </w:style>
  <w:style w:type="paragraph" w:customStyle="1" w:styleId="Kop-envoettekst">
    <w:name w:val="Kop- en voettekst"/>
    <w:rsid w:val="00E77486"/>
    <w:pPr>
      <w:tabs>
        <w:tab w:val="right" w:pos="9020"/>
      </w:tabs>
    </w:pPr>
    <w:rPr>
      <w:rFonts w:ascii="Helvetica" w:hAnsi="Arial Unicode MS" w:cs="Arial Unicode MS"/>
      <w:color w:val="000000"/>
      <w:sz w:val="24"/>
      <w:szCs w:val="24"/>
    </w:rPr>
  </w:style>
  <w:style w:type="paragraph" w:styleId="Voettekst">
    <w:name w:val="footer"/>
    <w:rsid w:val="00E77486"/>
    <w:pPr>
      <w:tabs>
        <w:tab w:val="center" w:pos="4536"/>
        <w:tab w:val="right" w:pos="9072"/>
      </w:tabs>
    </w:pPr>
    <w:rPr>
      <w:rFonts w:hAnsi="Arial Unicode MS" w:cs="Arial Unicode MS"/>
      <w:color w:val="000000"/>
      <w:sz w:val="24"/>
      <w:szCs w:val="24"/>
      <w:u w:color="000000"/>
      <w:lang w:val="nl-NL"/>
    </w:rPr>
  </w:style>
  <w:style w:type="character" w:customStyle="1" w:styleId="Koppeling">
    <w:name w:val="Koppeling"/>
    <w:rsid w:val="00E77486"/>
    <w:rPr>
      <w:color w:val="0000FF"/>
      <w:u w:val="single" w:color="0000FF"/>
    </w:rPr>
  </w:style>
  <w:style w:type="character" w:customStyle="1" w:styleId="Hyperlink0">
    <w:name w:val="Hyperlink.0"/>
    <w:basedOn w:val="Koppeling"/>
    <w:rsid w:val="00E77486"/>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vng.nl/onderwerpenindex/decentralisaties-sociaal-domein/decentralisatie-jeugdzorg/nieuws/overzicht-verdeling-awbz-over-jeugdwet-wmo-2015-wlz-en-zorgverzekeringsw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ordejeugd.nl/actueel/nieuwsberichten/1373-nu-beschikbaar-factsheet-woonplaatsbeginsel-inclusief-mindma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3016</Characters>
  <Application>Microsoft Office Word</Application>
  <DocSecurity>0</DocSecurity>
  <Lines>25</Lines>
  <Paragraphs>7</Paragraphs>
  <ScaleCrop>false</ScaleCrop>
  <Company>Gemeente Doetinchem</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Frederike Jager</cp:lastModifiedBy>
  <cp:revision>5</cp:revision>
  <dcterms:created xsi:type="dcterms:W3CDTF">2014-06-03T10:46:00Z</dcterms:created>
  <dcterms:modified xsi:type="dcterms:W3CDTF">2014-06-04T09:33:00Z</dcterms:modified>
</cp:coreProperties>
</file>