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F2180" w14:textId="0D7ABC64" w:rsidR="00A86396" w:rsidRDefault="00A86396" w:rsidP="00A86396">
      <w:pPr>
        <w:pStyle w:val="Kop1"/>
        <w:rPr>
          <w:rFonts w:ascii="Verdana" w:hAnsi="Verdana"/>
          <w:sz w:val="26"/>
          <w:szCs w:val="26"/>
        </w:rPr>
      </w:pPr>
      <w:bookmarkStart w:id="0" w:name="_Toc183510918"/>
      <w:r w:rsidRPr="00C25265">
        <w:rPr>
          <w:rFonts w:ascii="Verdana" w:hAnsi="Verdana"/>
          <w:sz w:val="26"/>
          <w:szCs w:val="26"/>
        </w:rPr>
        <w:t xml:space="preserve">Bijlage </w:t>
      </w:r>
      <w:r w:rsidR="00D205EC">
        <w:rPr>
          <w:rFonts w:ascii="Verdana" w:hAnsi="Verdana"/>
          <w:sz w:val="26"/>
          <w:szCs w:val="26"/>
        </w:rPr>
        <w:t>V</w:t>
      </w:r>
      <w:r w:rsidRPr="00C25265">
        <w:rPr>
          <w:rFonts w:ascii="Verdana" w:hAnsi="Verdana"/>
          <w:sz w:val="26"/>
          <w:szCs w:val="26"/>
        </w:rPr>
        <w:t>: resultaten marktconsulatie 2022</w:t>
      </w:r>
      <w:bookmarkEnd w:id="0"/>
    </w:p>
    <w:p w14:paraId="287F928B" w14:textId="77777777" w:rsidR="00F16829" w:rsidRDefault="00F16829" w:rsidP="003165EF"/>
    <w:p w14:paraId="129A0EAE" w14:textId="06EC0B71" w:rsidR="003165EF" w:rsidRDefault="0087731C" w:rsidP="003165EF">
      <w:r>
        <w:t>In 2022 heeft de gemeente Hoogeveen ter voorbereiding van deze aanbesteding een marktconsultatie gehouden.</w:t>
      </w:r>
      <w:r w:rsidR="00EF05A7">
        <w:t xml:space="preserve">  De gemeente Hoogeveen wilde een goede indruk van de mogelijkheden en de ontwikkelingen van de markt.</w:t>
      </w:r>
      <w:r>
        <w:t xml:space="preserve"> Drie partijen hebben hierop gereageerd. Van de marktconsultatie is een verslag gemaakt. Dit verslag geeft algemeen en objectief de uitkomsten van de consultatie weer, zonder dat dit herleidbaar is naar deelnemende partijen van de marktconsultatie. </w:t>
      </w:r>
      <w:r w:rsidR="00EF05A7">
        <w:t xml:space="preserve">Het verslag is gebruikt bij het opstellen van de aanbestedingsdocumenten. </w:t>
      </w:r>
    </w:p>
    <w:p w14:paraId="1554DF6E" w14:textId="77777777" w:rsidR="00A86396" w:rsidRDefault="00A86396" w:rsidP="00A86396">
      <w:pPr>
        <w:pStyle w:val="Normaalweb"/>
        <w:spacing w:before="0" w:beforeAutospacing="0" w:after="0" w:afterAutospacing="0" w:line="276" w:lineRule="auto"/>
        <w:rPr>
          <w:rFonts w:ascii="Verdana" w:hAnsi="Verdana" w:cs="Arial"/>
          <w:b/>
          <w:bCs/>
          <w:color w:val="000000"/>
          <w:sz w:val="20"/>
          <w:highlight w:val="yellow"/>
        </w:rPr>
      </w:pPr>
    </w:p>
    <w:tbl>
      <w:tblPr>
        <w:tblStyle w:val="Tabelraster"/>
        <w:tblW w:w="14454" w:type="dxa"/>
        <w:tblLook w:val="04A0" w:firstRow="1" w:lastRow="0" w:firstColumn="1" w:lastColumn="0" w:noHBand="0" w:noVBand="1"/>
      </w:tblPr>
      <w:tblGrid>
        <w:gridCol w:w="3227"/>
        <w:gridCol w:w="3827"/>
        <w:gridCol w:w="3544"/>
        <w:gridCol w:w="3856"/>
      </w:tblGrid>
      <w:tr w:rsidR="00A86396" w:rsidRPr="003F0F0E" w14:paraId="1945F5C8" w14:textId="77777777" w:rsidTr="00341113">
        <w:tc>
          <w:tcPr>
            <w:tcW w:w="3227" w:type="dxa"/>
          </w:tcPr>
          <w:p w14:paraId="740C2DB7" w14:textId="77777777" w:rsidR="00A86396" w:rsidRPr="00EF05A7" w:rsidRDefault="00A86396" w:rsidP="003C7410">
            <w:pPr>
              <w:rPr>
                <w:b/>
                <w:bCs/>
                <w:i/>
                <w:iCs/>
              </w:rPr>
            </w:pPr>
            <w:r w:rsidRPr="00EF05A7">
              <w:rPr>
                <w:b/>
                <w:bCs/>
                <w:i/>
                <w:iCs/>
              </w:rPr>
              <w:t>Vragen</w:t>
            </w:r>
          </w:p>
        </w:tc>
        <w:tc>
          <w:tcPr>
            <w:tcW w:w="3827" w:type="dxa"/>
          </w:tcPr>
          <w:p w14:paraId="1242AC83" w14:textId="3494889B" w:rsidR="00A86396" w:rsidRPr="003F0F0E" w:rsidRDefault="003165EF" w:rsidP="003C7410">
            <w:pPr>
              <w:rPr>
                <w:b/>
                <w:bCs/>
              </w:rPr>
            </w:pPr>
            <w:r>
              <w:rPr>
                <w:b/>
                <w:bCs/>
              </w:rPr>
              <w:t xml:space="preserve">Partij </w:t>
            </w:r>
            <w:r w:rsidR="0087731C">
              <w:rPr>
                <w:b/>
                <w:bCs/>
              </w:rPr>
              <w:t>A</w:t>
            </w:r>
          </w:p>
        </w:tc>
        <w:tc>
          <w:tcPr>
            <w:tcW w:w="3544" w:type="dxa"/>
          </w:tcPr>
          <w:p w14:paraId="22E0C7C7" w14:textId="67CDAB8D" w:rsidR="00A86396" w:rsidRPr="003F0F0E" w:rsidRDefault="003165EF" w:rsidP="003C7410">
            <w:pPr>
              <w:rPr>
                <w:b/>
                <w:bCs/>
              </w:rPr>
            </w:pPr>
            <w:r>
              <w:rPr>
                <w:b/>
                <w:bCs/>
              </w:rPr>
              <w:t xml:space="preserve">Partij </w:t>
            </w:r>
            <w:r w:rsidR="0087731C">
              <w:rPr>
                <w:b/>
                <w:bCs/>
              </w:rPr>
              <w:t>B</w:t>
            </w:r>
          </w:p>
        </w:tc>
        <w:tc>
          <w:tcPr>
            <w:tcW w:w="3856" w:type="dxa"/>
          </w:tcPr>
          <w:p w14:paraId="245CDAE3" w14:textId="6233E165" w:rsidR="00A86396" w:rsidRPr="003F0F0E" w:rsidRDefault="003165EF" w:rsidP="003C7410">
            <w:pPr>
              <w:rPr>
                <w:b/>
                <w:bCs/>
              </w:rPr>
            </w:pPr>
            <w:r>
              <w:rPr>
                <w:b/>
                <w:bCs/>
              </w:rPr>
              <w:t xml:space="preserve">Partij </w:t>
            </w:r>
            <w:r w:rsidR="0087731C">
              <w:rPr>
                <w:b/>
                <w:bCs/>
              </w:rPr>
              <w:t>C</w:t>
            </w:r>
            <w:r>
              <w:rPr>
                <w:b/>
                <w:bCs/>
              </w:rPr>
              <w:t xml:space="preserve"> </w:t>
            </w:r>
          </w:p>
        </w:tc>
      </w:tr>
      <w:tr w:rsidR="00A86396" w14:paraId="7CCDD055" w14:textId="77777777" w:rsidTr="00341113">
        <w:tc>
          <w:tcPr>
            <w:tcW w:w="3227" w:type="dxa"/>
          </w:tcPr>
          <w:p w14:paraId="2BF2BFCA" w14:textId="77777777" w:rsidR="00A86396" w:rsidRPr="00EF05A7" w:rsidRDefault="00A86396" w:rsidP="003C7410">
            <w:pPr>
              <w:rPr>
                <w:b/>
                <w:bCs/>
                <w:i/>
                <w:iCs/>
              </w:rPr>
            </w:pPr>
            <w:r w:rsidRPr="00EF05A7">
              <w:rPr>
                <w:b/>
                <w:bCs/>
                <w:i/>
                <w:iCs/>
              </w:rPr>
              <w:t>Intentie om in te schrijven op een eventuele aanbesteding.</w:t>
            </w:r>
          </w:p>
        </w:tc>
        <w:tc>
          <w:tcPr>
            <w:tcW w:w="3827" w:type="dxa"/>
          </w:tcPr>
          <w:p w14:paraId="1AB482D3" w14:textId="77777777" w:rsidR="00A86396" w:rsidRDefault="00A86396" w:rsidP="003C7410">
            <w:r>
              <w:t>Ja.</w:t>
            </w:r>
          </w:p>
        </w:tc>
        <w:tc>
          <w:tcPr>
            <w:tcW w:w="3544" w:type="dxa"/>
          </w:tcPr>
          <w:p w14:paraId="1A0B9559" w14:textId="77777777" w:rsidR="00A86396" w:rsidRDefault="00A86396" w:rsidP="003C7410">
            <w:r>
              <w:t>Ja.</w:t>
            </w:r>
          </w:p>
        </w:tc>
        <w:tc>
          <w:tcPr>
            <w:tcW w:w="3856" w:type="dxa"/>
          </w:tcPr>
          <w:p w14:paraId="496D2FC1" w14:textId="77777777" w:rsidR="00A86396" w:rsidRDefault="00A86396" w:rsidP="003C7410">
            <w:r>
              <w:t>Ja.</w:t>
            </w:r>
          </w:p>
        </w:tc>
      </w:tr>
      <w:tr w:rsidR="00A86396" w14:paraId="68BBAABF" w14:textId="77777777" w:rsidTr="00341113">
        <w:tc>
          <w:tcPr>
            <w:tcW w:w="3227" w:type="dxa"/>
          </w:tcPr>
          <w:p w14:paraId="7EBE492E" w14:textId="77777777" w:rsidR="00A86396" w:rsidRPr="00EF05A7" w:rsidRDefault="00A86396" w:rsidP="003C7410">
            <w:pPr>
              <w:rPr>
                <w:b/>
                <w:bCs/>
                <w:i/>
                <w:iCs/>
              </w:rPr>
            </w:pPr>
            <w:r w:rsidRPr="00EF05A7">
              <w:rPr>
                <w:b/>
                <w:bCs/>
                <w:i/>
                <w:iCs/>
              </w:rPr>
              <w:t>Is 3 jaar een reële termijn?</w:t>
            </w:r>
          </w:p>
        </w:tc>
        <w:tc>
          <w:tcPr>
            <w:tcW w:w="3827" w:type="dxa"/>
          </w:tcPr>
          <w:p w14:paraId="650A7719" w14:textId="77777777" w:rsidR="00A86396" w:rsidRDefault="00A86396" w:rsidP="003C7410">
            <w:r>
              <w:t>Ja.</w:t>
            </w:r>
          </w:p>
        </w:tc>
        <w:tc>
          <w:tcPr>
            <w:tcW w:w="3544" w:type="dxa"/>
          </w:tcPr>
          <w:p w14:paraId="5D87F0FE" w14:textId="29DB4496" w:rsidR="00A86396" w:rsidRDefault="00A86396" w:rsidP="003C7410">
            <w:r>
              <w:t xml:space="preserve">Ja. </w:t>
            </w:r>
          </w:p>
        </w:tc>
        <w:tc>
          <w:tcPr>
            <w:tcW w:w="3856" w:type="dxa"/>
          </w:tcPr>
          <w:p w14:paraId="4335243A" w14:textId="77777777" w:rsidR="00A86396" w:rsidRDefault="00A86396" w:rsidP="003C7410">
            <w:r w:rsidRPr="00056E1C">
              <w:t>Een termijn van 3 jaar is niet ongebruikelijk. Wel geldt dat hoe langer de termijn hoe lager de risico’s voor de uitvoerende organisatie. Ons advies is om een optie op verlenging mee te nemen.</w:t>
            </w:r>
          </w:p>
        </w:tc>
      </w:tr>
      <w:tr w:rsidR="00A86396" w14:paraId="79AEF239" w14:textId="77777777" w:rsidTr="00341113">
        <w:tc>
          <w:tcPr>
            <w:tcW w:w="3227" w:type="dxa"/>
          </w:tcPr>
          <w:p w14:paraId="02924DE3" w14:textId="77777777" w:rsidR="00A86396" w:rsidRPr="00EF05A7" w:rsidRDefault="00A86396" w:rsidP="003C7410">
            <w:pPr>
              <w:rPr>
                <w:b/>
                <w:bCs/>
                <w:i/>
                <w:iCs/>
              </w:rPr>
            </w:pPr>
            <w:r w:rsidRPr="00EF05A7">
              <w:rPr>
                <w:b/>
                <w:bCs/>
                <w:i/>
                <w:iCs/>
              </w:rPr>
              <w:t>Wat is een reële minimale opzegtermijn?</w:t>
            </w:r>
          </w:p>
        </w:tc>
        <w:tc>
          <w:tcPr>
            <w:tcW w:w="3827" w:type="dxa"/>
          </w:tcPr>
          <w:p w14:paraId="41C2B18A" w14:textId="77777777" w:rsidR="00A86396" w:rsidRDefault="00A86396" w:rsidP="003C7410">
            <w:r w:rsidRPr="003574A4">
              <w:t>De opzegtermijn van de opdracht is afhankelijk van hoe flexibel de organisatie de huisvesting anders kan inzetten of kan opzeggen</w:t>
            </w:r>
          </w:p>
        </w:tc>
        <w:tc>
          <w:tcPr>
            <w:tcW w:w="3544" w:type="dxa"/>
          </w:tcPr>
          <w:p w14:paraId="6521DE30" w14:textId="77777777" w:rsidR="00A86396" w:rsidRDefault="00A86396" w:rsidP="003C7410">
            <w:r>
              <w:t>1 jaar.</w:t>
            </w:r>
          </w:p>
        </w:tc>
        <w:tc>
          <w:tcPr>
            <w:tcW w:w="3856" w:type="dxa"/>
          </w:tcPr>
          <w:p w14:paraId="5F55CD39" w14:textId="77777777" w:rsidR="00A86396" w:rsidRDefault="00A86396" w:rsidP="003C7410">
            <w:r w:rsidRPr="00056E1C">
              <w:t>Een redelijke termijn is een jaar</w:t>
            </w:r>
            <w:r>
              <w:t xml:space="preserve">. Voor kwetsbare bezoekers zal </w:t>
            </w:r>
            <w:r w:rsidRPr="00056E1C">
              <w:t xml:space="preserve">een nieuwe plek </w:t>
            </w:r>
            <w:r>
              <w:t xml:space="preserve">gevonden moeten worden </w:t>
            </w:r>
            <w:r w:rsidRPr="00056E1C">
              <w:t>waar ze zich thuis voelen en waar ze zich veilig voelen</w:t>
            </w:r>
            <w:r>
              <w:t xml:space="preserve">. </w:t>
            </w:r>
            <w:r w:rsidRPr="00056E1C">
              <w:t>Hun structuur en netwerk valt weg. Daarom is een overgangsperiode van een jaar noodzakelijk en realistisch</w:t>
            </w:r>
            <w:r>
              <w:t>.</w:t>
            </w:r>
          </w:p>
        </w:tc>
      </w:tr>
      <w:tr w:rsidR="00A86396" w14:paraId="24F2A233" w14:textId="77777777" w:rsidTr="00341113">
        <w:tc>
          <w:tcPr>
            <w:tcW w:w="3227" w:type="dxa"/>
          </w:tcPr>
          <w:p w14:paraId="478F71D6" w14:textId="77777777" w:rsidR="00A86396" w:rsidRPr="00EF05A7" w:rsidRDefault="00A86396" w:rsidP="003C7410">
            <w:pPr>
              <w:rPr>
                <w:b/>
                <w:bCs/>
                <w:i/>
                <w:iCs/>
              </w:rPr>
            </w:pPr>
            <w:r w:rsidRPr="00EF05A7">
              <w:rPr>
                <w:b/>
                <w:bCs/>
                <w:i/>
                <w:iCs/>
              </w:rPr>
              <w:lastRenderedPageBreak/>
              <w:t>Frictiekosten bij opzegging</w:t>
            </w:r>
          </w:p>
        </w:tc>
        <w:tc>
          <w:tcPr>
            <w:tcW w:w="3827" w:type="dxa"/>
          </w:tcPr>
          <w:p w14:paraId="650F05C4" w14:textId="77777777" w:rsidR="00A86396" w:rsidRDefault="00A86396" w:rsidP="003C7410">
            <w:r>
              <w:t>A</w:t>
            </w:r>
            <w:r w:rsidRPr="003574A4">
              <w:t>fhankelijk van de huisvesting. Wij zijn een grote organisatie, deze opdracht vraagt een relatief kleine personeelsbezetting die eventueel te herplaatsen is bij het einde ervan.</w:t>
            </w:r>
          </w:p>
        </w:tc>
        <w:tc>
          <w:tcPr>
            <w:tcW w:w="3544" w:type="dxa"/>
          </w:tcPr>
          <w:p w14:paraId="0C5D270B" w14:textId="77777777" w:rsidR="00A86396" w:rsidRDefault="00A86396" w:rsidP="003C7410">
            <w:r>
              <w:t>Personeel en opzegtermijn van de huur.</w:t>
            </w:r>
          </w:p>
        </w:tc>
        <w:tc>
          <w:tcPr>
            <w:tcW w:w="3856" w:type="dxa"/>
          </w:tcPr>
          <w:p w14:paraId="6CAF879E" w14:textId="77777777" w:rsidR="00A86396" w:rsidRDefault="00A86396" w:rsidP="003C7410">
            <w:r>
              <w:t>P</w:t>
            </w:r>
            <w:r w:rsidRPr="00056E1C">
              <w:t xml:space="preserve">ersonele </w:t>
            </w:r>
            <w:r>
              <w:t>kosten</w:t>
            </w:r>
            <w:r w:rsidRPr="00056E1C">
              <w:t xml:space="preserve"> (beëindigen contract, vaststellingsovereenkomst of overgang naar andere werkplek)</w:t>
            </w:r>
            <w:r>
              <w:t>.</w:t>
            </w:r>
            <w:r w:rsidRPr="00056E1C">
              <w:t xml:space="preserve"> </w:t>
            </w:r>
            <w:r>
              <w:t>Huurkosten</w:t>
            </w:r>
            <w:r w:rsidRPr="00056E1C">
              <w:t xml:space="preserve"> (huurtermijn). Frictiekosten zijn overeenkomstig de kosten voor het runnen van de opvang gedurende een jaar.</w:t>
            </w:r>
          </w:p>
        </w:tc>
      </w:tr>
      <w:tr w:rsidR="00A86396" w14:paraId="54E0AE6B" w14:textId="77777777" w:rsidTr="00341113">
        <w:tc>
          <w:tcPr>
            <w:tcW w:w="3227" w:type="dxa"/>
          </w:tcPr>
          <w:p w14:paraId="0B45444A" w14:textId="6526B8AB" w:rsidR="00A86396" w:rsidRPr="00EF05A7" w:rsidRDefault="00A86396" w:rsidP="003C7410">
            <w:pPr>
              <w:rPr>
                <w:b/>
                <w:bCs/>
                <w:i/>
                <w:iCs/>
              </w:rPr>
            </w:pPr>
            <w:r w:rsidRPr="00EF05A7">
              <w:rPr>
                <w:b/>
                <w:bCs/>
                <w:i/>
                <w:iCs/>
              </w:rPr>
              <w:t>Is het reëel dat aanbieder zelf zorgdraagt voor een pand?</w:t>
            </w:r>
          </w:p>
        </w:tc>
        <w:tc>
          <w:tcPr>
            <w:tcW w:w="3827" w:type="dxa"/>
          </w:tcPr>
          <w:p w14:paraId="7B59827A" w14:textId="77777777" w:rsidR="00A86396" w:rsidRDefault="00A86396" w:rsidP="003C7410">
            <w:r w:rsidRPr="003574A4">
              <w:t>Nee. Bij een overeenkomst voor korte duur is het niet mogelijk om zelf voor nieuwe huisvesting te zorgen, tenzij de termijn langer is of frictiekosten hoger zijn</w:t>
            </w:r>
            <w:r>
              <w:t>.</w:t>
            </w:r>
          </w:p>
        </w:tc>
        <w:tc>
          <w:tcPr>
            <w:tcW w:w="3544" w:type="dxa"/>
          </w:tcPr>
          <w:p w14:paraId="33EF79FB" w14:textId="0FB83421" w:rsidR="00A86396" w:rsidRDefault="0087731C" w:rsidP="003C7410">
            <w:r>
              <w:rPr>
                <w:rFonts w:cs="Verdana"/>
                <w:szCs w:val="20"/>
              </w:rPr>
              <w:t>[…]</w:t>
            </w:r>
            <w:r w:rsidR="00A86396">
              <w:rPr>
                <w:rFonts w:cs="Verdana"/>
                <w:szCs w:val="20"/>
              </w:rPr>
              <w:t xml:space="preserve"> heeft een dagbestedingslocatie </w:t>
            </w:r>
            <w:r>
              <w:rPr>
                <w:rFonts w:cs="Verdana"/>
                <w:szCs w:val="20"/>
              </w:rPr>
              <w:t>[…]</w:t>
            </w:r>
            <w:r w:rsidR="00A86396">
              <w:rPr>
                <w:rFonts w:cs="Verdana"/>
                <w:szCs w:val="20"/>
              </w:rPr>
              <w:t xml:space="preserve"> in Hoogeveen. We willen de inloopvoorziening hieraan koppelen.</w:t>
            </w:r>
          </w:p>
        </w:tc>
        <w:tc>
          <w:tcPr>
            <w:tcW w:w="3856" w:type="dxa"/>
          </w:tcPr>
          <w:p w14:paraId="05276F2C" w14:textId="016262B7" w:rsidR="00A86396" w:rsidRPr="002F5723" w:rsidRDefault="00A86396" w:rsidP="003C7410">
            <w:pPr>
              <w:rPr>
                <w:szCs w:val="20"/>
              </w:rPr>
            </w:pPr>
            <w:r w:rsidRPr="002F5723">
              <w:rPr>
                <w:szCs w:val="20"/>
              </w:rPr>
              <w:t xml:space="preserve">Dit is reëel en uitvoerbaar. </w:t>
            </w:r>
            <w:r w:rsidR="0087731C">
              <w:rPr>
                <w:szCs w:val="20"/>
              </w:rPr>
              <w:t>[…]</w:t>
            </w:r>
          </w:p>
        </w:tc>
      </w:tr>
      <w:tr w:rsidR="00A86396" w14:paraId="4CF6FB51" w14:textId="77777777" w:rsidTr="00341113">
        <w:tc>
          <w:tcPr>
            <w:tcW w:w="3227" w:type="dxa"/>
          </w:tcPr>
          <w:p w14:paraId="4A902AFE" w14:textId="77777777" w:rsidR="00A86396" w:rsidRPr="00EF05A7" w:rsidRDefault="00A86396" w:rsidP="003C7410">
            <w:pPr>
              <w:rPr>
                <w:b/>
                <w:bCs/>
                <w:i/>
                <w:iCs/>
              </w:rPr>
            </w:pPr>
            <w:r w:rsidRPr="00EF05A7">
              <w:rPr>
                <w:b/>
                <w:bCs/>
                <w:i/>
                <w:iCs/>
              </w:rPr>
              <w:t>Onder welke voorwaarden kan aanbieder zorgen voor een pand?</w:t>
            </w:r>
          </w:p>
        </w:tc>
        <w:tc>
          <w:tcPr>
            <w:tcW w:w="3827" w:type="dxa"/>
          </w:tcPr>
          <w:p w14:paraId="17CE303C" w14:textId="77777777" w:rsidR="00A86396" w:rsidRDefault="00A86396" w:rsidP="003C7410">
            <w:r w:rsidRPr="003574A4">
              <w:t>Bij een langlopende overeenkomst danwel bij bij einde van overeenkomst de huisvesting wordt overgenomen</w:t>
            </w:r>
            <w:r>
              <w:t>.</w:t>
            </w:r>
          </w:p>
        </w:tc>
        <w:tc>
          <w:tcPr>
            <w:tcW w:w="3544" w:type="dxa"/>
          </w:tcPr>
          <w:p w14:paraId="5C1D3F18" w14:textId="77777777" w:rsidR="00A86396" w:rsidRDefault="00A86396" w:rsidP="003C7410">
            <w:r>
              <w:t xml:space="preserve">Aansluiten </w:t>
            </w:r>
            <w:r w:rsidRPr="00D00391">
              <w:rPr>
                <w:rFonts w:cs="Verdana"/>
                <w:szCs w:val="20"/>
              </w:rPr>
              <w:t xml:space="preserve">bij </w:t>
            </w:r>
            <w:r>
              <w:rPr>
                <w:rFonts w:cs="Verdana"/>
                <w:szCs w:val="20"/>
              </w:rPr>
              <w:t>de eigen</w:t>
            </w:r>
            <w:r w:rsidRPr="00D00391">
              <w:rPr>
                <w:rFonts w:cs="Verdana"/>
                <w:szCs w:val="20"/>
              </w:rPr>
              <w:t xml:space="preserve"> locatie voor dagbesteding</w:t>
            </w:r>
            <w:r>
              <w:rPr>
                <w:rFonts w:cs="Verdana"/>
                <w:szCs w:val="20"/>
              </w:rPr>
              <w:t>. D</w:t>
            </w:r>
            <w:r w:rsidRPr="003C5BE1">
              <w:rPr>
                <w:rFonts w:cs="Verdana"/>
                <w:szCs w:val="20"/>
              </w:rPr>
              <w:t xml:space="preserve">e </w:t>
            </w:r>
            <w:r>
              <w:rPr>
                <w:rFonts w:cs="Verdana"/>
                <w:szCs w:val="20"/>
              </w:rPr>
              <w:t>eigen</w:t>
            </w:r>
            <w:r w:rsidRPr="003C5BE1">
              <w:rPr>
                <w:rFonts w:cs="Verdana"/>
                <w:szCs w:val="20"/>
              </w:rPr>
              <w:t xml:space="preserve"> locatie </w:t>
            </w:r>
            <w:r>
              <w:rPr>
                <w:rFonts w:cs="Verdana"/>
                <w:szCs w:val="20"/>
              </w:rPr>
              <w:t xml:space="preserve">moet </w:t>
            </w:r>
            <w:r w:rsidRPr="003C5BE1">
              <w:rPr>
                <w:rFonts w:cs="Verdana"/>
                <w:szCs w:val="20"/>
              </w:rPr>
              <w:t xml:space="preserve">geschikt </w:t>
            </w:r>
            <w:r>
              <w:rPr>
                <w:rFonts w:cs="Verdana"/>
                <w:szCs w:val="20"/>
              </w:rPr>
              <w:t>worden gemaakt</w:t>
            </w:r>
            <w:r w:rsidRPr="003C5BE1">
              <w:rPr>
                <w:rFonts w:cs="Verdana"/>
                <w:szCs w:val="20"/>
              </w:rPr>
              <w:t xml:space="preserve"> voor een inloopvoorziening.</w:t>
            </w:r>
          </w:p>
        </w:tc>
        <w:tc>
          <w:tcPr>
            <w:tcW w:w="3856" w:type="dxa"/>
          </w:tcPr>
          <w:p w14:paraId="690A58A1" w14:textId="77777777" w:rsidR="00A86396" w:rsidRPr="002F5723" w:rsidRDefault="00A86396" w:rsidP="003C7410">
            <w:pPr>
              <w:rPr>
                <w:szCs w:val="20"/>
              </w:rPr>
            </w:pPr>
            <w:r w:rsidRPr="002F5723">
              <w:rPr>
                <w:szCs w:val="20"/>
              </w:rPr>
              <w:t>Het vinden van een locatie kost in praktijk enkele maanden tot een jaar en soms langer.</w:t>
            </w:r>
          </w:p>
        </w:tc>
      </w:tr>
      <w:tr w:rsidR="00A86396" w14:paraId="70F7599E" w14:textId="77777777" w:rsidTr="00341113">
        <w:tc>
          <w:tcPr>
            <w:tcW w:w="3227" w:type="dxa"/>
          </w:tcPr>
          <w:p w14:paraId="7CA15F83" w14:textId="77777777" w:rsidR="00A86396" w:rsidRDefault="00A86396" w:rsidP="003C7410">
            <w:pPr>
              <w:rPr>
                <w:b/>
                <w:bCs/>
                <w:i/>
                <w:iCs/>
              </w:rPr>
            </w:pPr>
            <w:r w:rsidRPr="00EF05A7">
              <w:rPr>
                <w:b/>
                <w:bCs/>
                <w:i/>
                <w:iCs/>
              </w:rPr>
              <w:t>Is het reëel om in september te starten met de aanbesteding en het contact in te laten gaan met ingang van januari?</w:t>
            </w:r>
            <w:r w:rsidR="00C64CC6" w:rsidRPr="00EF05A7">
              <w:rPr>
                <w:rStyle w:val="Voetnootmarkering"/>
                <w:b/>
                <w:bCs/>
                <w:i/>
                <w:iCs/>
              </w:rPr>
              <w:footnoteReference w:id="1"/>
            </w:r>
          </w:p>
          <w:p w14:paraId="3A1442AB" w14:textId="5EE83411" w:rsidR="00341113" w:rsidRPr="00EF05A7" w:rsidRDefault="00341113" w:rsidP="003C7410">
            <w:pPr>
              <w:rPr>
                <w:b/>
                <w:bCs/>
                <w:i/>
                <w:iCs/>
              </w:rPr>
            </w:pPr>
          </w:p>
        </w:tc>
        <w:tc>
          <w:tcPr>
            <w:tcW w:w="3827" w:type="dxa"/>
          </w:tcPr>
          <w:p w14:paraId="364E77B5" w14:textId="77777777" w:rsidR="00A86396" w:rsidRPr="0087731C" w:rsidRDefault="00A86396" w:rsidP="003C7410">
            <w:r w:rsidRPr="0087731C">
              <w:t>Nee. Wij verwachten dat wij los van huisvestiging maximaal een half jaar nodig te hebben om te starten.</w:t>
            </w:r>
          </w:p>
        </w:tc>
        <w:tc>
          <w:tcPr>
            <w:tcW w:w="3544" w:type="dxa"/>
          </w:tcPr>
          <w:p w14:paraId="7B532F92" w14:textId="77777777" w:rsidR="00A86396" w:rsidRPr="0087731C" w:rsidRDefault="00A86396" w:rsidP="003C7410">
            <w:r w:rsidRPr="0087731C">
              <w:t>1 juli is waarschijnlijk wel haalbaar.</w:t>
            </w:r>
          </w:p>
        </w:tc>
        <w:tc>
          <w:tcPr>
            <w:tcW w:w="3856" w:type="dxa"/>
          </w:tcPr>
          <w:p w14:paraId="4154E58E" w14:textId="77777777" w:rsidR="00A86396" w:rsidRPr="0087731C" w:rsidRDefault="00A86396" w:rsidP="003C7410">
            <w:r w:rsidRPr="0087731C">
              <w:t>Wij voorzien voor onszelf geen problemen.</w:t>
            </w:r>
          </w:p>
        </w:tc>
      </w:tr>
      <w:tr w:rsidR="00A86396" w14:paraId="72E30756" w14:textId="77777777" w:rsidTr="00341113">
        <w:tc>
          <w:tcPr>
            <w:tcW w:w="3227" w:type="dxa"/>
          </w:tcPr>
          <w:p w14:paraId="5C35E4DA" w14:textId="77777777" w:rsidR="00A86396" w:rsidRPr="00EF05A7" w:rsidRDefault="00A86396" w:rsidP="003C7410">
            <w:pPr>
              <w:rPr>
                <w:b/>
                <w:bCs/>
                <w:i/>
                <w:iCs/>
              </w:rPr>
            </w:pPr>
            <w:r w:rsidRPr="00EF05A7">
              <w:rPr>
                <w:b/>
                <w:bCs/>
                <w:i/>
                <w:iCs/>
              </w:rPr>
              <w:t xml:space="preserve">Welke belemmeringen worden </w:t>
            </w:r>
            <w:r w:rsidRPr="00EF05A7">
              <w:rPr>
                <w:b/>
                <w:bCs/>
                <w:i/>
                <w:iCs/>
              </w:rPr>
              <w:lastRenderedPageBreak/>
              <w:t>verwacht?</w:t>
            </w:r>
          </w:p>
        </w:tc>
        <w:tc>
          <w:tcPr>
            <w:tcW w:w="3827" w:type="dxa"/>
          </w:tcPr>
          <w:p w14:paraId="1A99731D" w14:textId="77777777" w:rsidR="00A86396" w:rsidRDefault="00A86396" w:rsidP="003C7410">
            <w:r w:rsidRPr="00A024FA">
              <w:lastRenderedPageBreak/>
              <w:t xml:space="preserve">De grootste belemmering is de huisvesting. Daarnaast is het </w:t>
            </w:r>
            <w:r w:rsidRPr="00A024FA">
              <w:lastRenderedPageBreak/>
              <w:t>momenteel lastig, vanwege de krapte op de markt, om personeel te werven</w:t>
            </w:r>
            <w:r>
              <w:t>.</w:t>
            </w:r>
          </w:p>
        </w:tc>
        <w:tc>
          <w:tcPr>
            <w:tcW w:w="3544" w:type="dxa"/>
          </w:tcPr>
          <w:p w14:paraId="0BE1D2F1" w14:textId="77777777" w:rsidR="00A86396" w:rsidRDefault="00A86396" w:rsidP="003C7410">
            <w:r>
              <w:rPr>
                <w:rFonts w:cs="Verdana"/>
                <w:szCs w:val="20"/>
              </w:rPr>
              <w:lastRenderedPageBreak/>
              <w:t>H</w:t>
            </w:r>
            <w:r w:rsidRPr="00275181">
              <w:rPr>
                <w:rFonts w:cs="Verdana"/>
                <w:szCs w:val="20"/>
              </w:rPr>
              <w:t xml:space="preserve">et inrichten/verbouwen van de </w:t>
            </w:r>
            <w:r w:rsidRPr="00275181">
              <w:rPr>
                <w:rFonts w:cs="Verdana"/>
                <w:szCs w:val="20"/>
              </w:rPr>
              <w:lastRenderedPageBreak/>
              <w:t>locatie</w:t>
            </w:r>
            <w:r>
              <w:rPr>
                <w:rFonts w:cs="Verdana"/>
                <w:szCs w:val="20"/>
              </w:rPr>
              <w:t>.</w:t>
            </w:r>
          </w:p>
        </w:tc>
        <w:tc>
          <w:tcPr>
            <w:tcW w:w="3856" w:type="dxa"/>
          </w:tcPr>
          <w:p w14:paraId="71660BE3" w14:textId="77777777" w:rsidR="00A86396" w:rsidRDefault="00A86396" w:rsidP="003C7410">
            <w:r w:rsidRPr="006552F3">
              <w:lastRenderedPageBreak/>
              <w:t>Voor exploitatie in een ander pand moet het traject met de buurt zorgvuldig</w:t>
            </w:r>
            <w:r>
              <w:t xml:space="preserve"> </w:t>
            </w:r>
            <w:r>
              <w:lastRenderedPageBreak/>
              <w:t>worden ge</w:t>
            </w:r>
            <w:r w:rsidRPr="006552F3">
              <w:t>lopen om te voorkomen dat een buurt zich overvallen voel</w:t>
            </w:r>
            <w:r>
              <w:t>t.</w:t>
            </w:r>
            <w:r w:rsidRPr="006552F3">
              <w:t xml:space="preserve"> Bezoekers moeten worden voorbereid op de overgang naar een andere organisatie op een andere locatie. Daarnaast is er een arbeidstekort, dus mogelijk is het lastig voor een andere aanbieder om medewerkers te vinden.</w:t>
            </w:r>
          </w:p>
        </w:tc>
      </w:tr>
      <w:tr w:rsidR="00A86396" w14:paraId="33979B93" w14:textId="77777777" w:rsidTr="00341113">
        <w:tc>
          <w:tcPr>
            <w:tcW w:w="3227" w:type="dxa"/>
          </w:tcPr>
          <w:p w14:paraId="0A9D6276" w14:textId="77777777" w:rsidR="00A86396" w:rsidRPr="00EF05A7" w:rsidRDefault="00A86396" w:rsidP="003C7410">
            <w:pPr>
              <w:rPr>
                <w:b/>
                <w:bCs/>
                <w:i/>
                <w:iCs/>
              </w:rPr>
            </w:pPr>
            <w:r w:rsidRPr="00EF05A7">
              <w:rPr>
                <w:b/>
                <w:bCs/>
                <w:i/>
                <w:iCs/>
              </w:rPr>
              <w:lastRenderedPageBreak/>
              <w:t>Oplossingen voor de belemmeringen</w:t>
            </w:r>
          </w:p>
        </w:tc>
        <w:tc>
          <w:tcPr>
            <w:tcW w:w="3827" w:type="dxa"/>
          </w:tcPr>
          <w:p w14:paraId="52D6F1DA" w14:textId="77777777" w:rsidR="00A86396" w:rsidRDefault="00A86396" w:rsidP="003C7410">
            <w:r w:rsidRPr="00A024FA">
              <w:t>Het ter beschikking stellen van de huisvestiging door de gemeente</w:t>
            </w:r>
            <w:r>
              <w:t>.</w:t>
            </w:r>
          </w:p>
        </w:tc>
        <w:tc>
          <w:tcPr>
            <w:tcW w:w="3544" w:type="dxa"/>
          </w:tcPr>
          <w:p w14:paraId="1B091FC0" w14:textId="77777777" w:rsidR="00A86396" w:rsidRDefault="00A86396" w:rsidP="003C7410">
            <w:pPr>
              <w:rPr>
                <w:rFonts w:cs="Verdana"/>
                <w:szCs w:val="20"/>
              </w:rPr>
            </w:pPr>
            <w:r>
              <w:rPr>
                <w:rFonts w:cs="Verdana"/>
                <w:szCs w:val="20"/>
              </w:rPr>
              <w:t>B</w:t>
            </w:r>
            <w:r w:rsidRPr="00275181">
              <w:rPr>
                <w:rFonts w:cs="Verdana"/>
                <w:szCs w:val="20"/>
              </w:rPr>
              <w:t>udget voor de verbouwing.</w:t>
            </w:r>
          </w:p>
          <w:p w14:paraId="4813BD46" w14:textId="77777777" w:rsidR="00A86396" w:rsidRPr="00275181" w:rsidRDefault="00A86396" w:rsidP="003C7410">
            <w:pPr>
              <w:autoSpaceDE w:val="0"/>
              <w:autoSpaceDN w:val="0"/>
              <w:adjustRightInd w:val="0"/>
              <w:rPr>
                <w:rFonts w:cs="Verdana"/>
                <w:szCs w:val="20"/>
              </w:rPr>
            </w:pPr>
            <w:r>
              <w:rPr>
                <w:rFonts w:cs="Verdana"/>
                <w:szCs w:val="20"/>
              </w:rPr>
              <w:t>V</w:t>
            </w:r>
            <w:r w:rsidRPr="00275181">
              <w:rPr>
                <w:rFonts w:cs="Verdana"/>
                <w:szCs w:val="20"/>
              </w:rPr>
              <w:t>anuit de organisatie bestaand personeel vrijspelen.</w:t>
            </w:r>
          </w:p>
          <w:p w14:paraId="38510CEF" w14:textId="77777777" w:rsidR="00A86396" w:rsidRDefault="00A86396" w:rsidP="003C7410"/>
        </w:tc>
        <w:tc>
          <w:tcPr>
            <w:tcW w:w="3856" w:type="dxa"/>
          </w:tcPr>
          <w:p w14:paraId="1869F2E3" w14:textId="2B1EA460" w:rsidR="00A86396" w:rsidRDefault="00341113" w:rsidP="003C7410">
            <w:r>
              <w:t>O</w:t>
            </w:r>
            <w:r w:rsidR="004366C1">
              <w:t>ns advies is</w:t>
            </w:r>
            <w:r w:rsidR="00A86396" w:rsidRPr="006552F3">
              <w:t xml:space="preserve"> dat de gemeente een pand beschikbaar stelt.</w:t>
            </w:r>
          </w:p>
        </w:tc>
      </w:tr>
      <w:tr w:rsidR="00A86396" w14:paraId="3C944895" w14:textId="77777777" w:rsidTr="00341113">
        <w:tc>
          <w:tcPr>
            <w:tcW w:w="3227" w:type="dxa"/>
          </w:tcPr>
          <w:p w14:paraId="5A381737" w14:textId="77777777" w:rsidR="00A86396" w:rsidRPr="00EF05A7" w:rsidRDefault="00A86396" w:rsidP="003C7410">
            <w:pPr>
              <w:rPr>
                <w:b/>
                <w:bCs/>
                <w:i/>
                <w:iCs/>
              </w:rPr>
            </w:pPr>
            <w:r w:rsidRPr="00EF05A7">
              <w:rPr>
                <w:b/>
                <w:bCs/>
                <w:i/>
                <w:iCs/>
              </w:rPr>
              <w:t>Mogelijkheden om doelgroep uit te breiden.</w:t>
            </w:r>
          </w:p>
        </w:tc>
        <w:tc>
          <w:tcPr>
            <w:tcW w:w="3827" w:type="dxa"/>
          </w:tcPr>
          <w:p w14:paraId="34DF7764" w14:textId="77777777" w:rsidR="00A86396" w:rsidRDefault="00A86396" w:rsidP="003C7410">
            <w:r>
              <w:t>Uit uw stukken blijkt dat ongeveer 20% van de totale bezoekers dak- of thuisloos is. Wij zijn van mening dat deze groep zoveel mogelijk moet aansluiten bij het regulier aanbod. Verbijzondering past niet bij de inclusie gedachte.</w:t>
            </w:r>
          </w:p>
        </w:tc>
        <w:tc>
          <w:tcPr>
            <w:tcW w:w="3544" w:type="dxa"/>
          </w:tcPr>
          <w:p w14:paraId="7BF40C12" w14:textId="081E7657" w:rsidR="00A86396" w:rsidRDefault="00A86396" w:rsidP="003C7410">
            <w:pPr>
              <w:autoSpaceDE w:val="0"/>
              <w:autoSpaceDN w:val="0"/>
              <w:adjustRightInd w:val="0"/>
              <w:rPr>
                <w:rFonts w:cs="Verdana"/>
                <w:szCs w:val="20"/>
              </w:rPr>
            </w:pPr>
            <w:r w:rsidRPr="00D45FA9">
              <w:rPr>
                <w:rFonts w:cs="Verdana"/>
                <w:szCs w:val="20"/>
              </w:rPr>
              <w:t>De ervaring leert dat als je naast de inloopvoorziening een passend en uitdagend dagbestedingsaanbod aanbied</w:t>
            </w:r>
            <w:r>
              <w:rPr>
                <w:rFonts w:cs="Verdana"/>
                <w:szCs w:val="20"/>
              </w:rPr>
              <w:t>t,</w:t>
            </w:r>
            <w:r w:rsidRPr="00D45FA9">
              <w:rPr>
                <w:rFonts w:cs="Verdana"/>
                <w:szCs w:val="20"/>
              </w:rPr>
              <w:t xml:space="preserve"> je een mengeling van clientèle aantrekt. </w:t>
            </w:r>
            <w:r w:rsidR="004366C1">
              <w:rPr>
                <w:rFonts w:cs="Verdana"/>
                <w:szCs w:val="20"/>
              </w:rPr>
              <w:t xml:space="preserve">[…] </w:t>
            </w:r>
            <w:r w:rsidRPr="00275181">
              <w:rPr>
                <w:rFonts w:cs="Verdana"/>
                <w:szCs w:val="20"/>
              </w:rPr>
              <w:t>mengt op andere projecten verschillende doelgroepen</w:t>
            </w:r>
            <w:r>
              <w:rPr>
                <w:rFonts w:cs="Verdana"/>
                <w:szCs w:val="20"/>
              </w:rPr>
              <w:t>.</w:t>
            </w:r>
          </w:p>
          <w:p w14:paraId="5C7FF916" w14:textId="77777777" w:rsidR="00A86396" w:rsidRDefault="00A86396" w:rsidP="003C7410"/>
        </w:tc>
        <w:tc>
          <w:tcPr>
            <w:tcW w:w="3856" w:type="dxa"/>
          </w:tcPr>
          <w:p w14:paraId="3483A639" w14:textId="77777777" w:rsidR="00A86396" w:rsidRPr="005E396C" w:rsidRDefault="00A86396" w:rsidP="003C7410">
            <w:pPr>
              <w:rPr>
                <w:szCs w:val="20"/>
              </w:rPr>
            </w:pPr>
            <w:r w:rsidRPr="005E396C">
              <w:rPr>
                <w:szCs w:val="20"/>
              </w:rPr>
              <w:t>De voorziening kan nog meer een vangnet zijn en daginvulling bieden voor verschillende doelgroepen:</w:t>
            </w:r>
          </w:p>
          <w:p w14:paraId="398C9B65" w14:textId="77777777" w:rsidR="00A86396" w:rsidRPr="005E396C" w:rsidRDefault="00A86396" w:rsidP="003C7410">
            <w:pPr>
              <w:rPr>
                <w:szCs w:val="20"/>
              </w:rPr>
            </w:pPr>
            <w:r w:rsidRPr="005E396C">
              <w:rPr>
                <w:szCs w:val="20"/>
              </w:rPr>
              <w:t>GGZ doelgroep, mensen met een verstandelijke beperking, eenzame mensen die moeite hebben om aansluiting te vinden, mensen met een niet-westerse achtergrond die moeite hebben om zich thuis te voelen, mensen met schulden die daardoor weinig mogelijkheden hebben om sociaal deel te nemen.</w:t>
            </w:r>
          </w:p>
          <w:p w14:paraId="62323E7E" w14:textId="77777777" w:rsidR="00A86396" w:rsidRPr="005E396C" w:rsidRDefault="00A86396" w:rsidP="003C7410">
            <w:pPr>
              <w:rPr>
                <w:szCs w:val="20"/>
              </w:rPr>
            </w:pPr>
            <w:r w:rsidRPr="005E396C">
              <w:rPr>
                <w:szCs w:val="20"/>
              </w:rPr>
              <w:t xml:space="preserve">Verder valt ook te denken aan kinderen </w:t>
            </w:r>
            <w:r w:rsidRPr="005E396C">
              <w:rPr>
                <w:szCs w:val="20"/>
              </w:rPr>
              <w:lastRenderedPageBreak/>
              <w:t>en jeugd uit gezinnen aan de zelfkant van de maatschappij, door speciale op hen afgestemde activiteiten tijdens speciale openingsuren.</w:t>
            </w:r>
          </w:p>
        </w:tc>
      </w:tr>
      <w:tr w:rsidR="00A86396" w14:paraId="15AB2D9A" w14:textId="77777777" w:rsidTr="00341113">
        <w:tc>
          <w:tcPr>
            <w:tcW w:w="3227" w:type="dxa"/>
          </w:tcPr>
          <w:p w14:paraId="1FB149AF" w14:textId="77777777" w:rsidR="00A86396" w:rsidRPr="00EF05A7" w:rsidRDefault="00A86396" w:rsidP="003C7410">
            <w:pPr>
              <w:rPr>
                <w:b/>
                <w:bCs/>
                <w:i/>
                <w:iCs/>
              </w:rPr>
            </w:pPr>
            <w:r w:rsidRPr="00EF05A7">
              <w:rPr>
                <w:b/>
                <w:bCs/>
                <w:i/>
                <w:iCs/>
              </w:rPr>
              <w:lastRenderedPageBreak/>
              <w:t>Gewenste koppelingen met andere vormen van zorg en dienstverlening.</w:t>
            </w:r>
          </w:p>
        </w:tc>
        <w:tc>
          <w:tcPr>
            <w:tcW w:w="3827" w:type="dxa"/>
          </w:tcPr>
          <w:p w14:paraId="6F6471F9" w14:textId="77777777" w:rsidR="00A86396" w:rsidRDefault="00A86396" w:rsidP="003C7410">
            <w:r w:rsidRPr="00A024FA">
              <w:t>Reguliere maatschappelijke opvang om daarna zo snel mogelijk weer door te stromen naar zelfstandig wonen of naar een zo zelfstandig mogelijke vo</w:t>
            </w:r>
            <w:r>
              <w:t>r</w:t>
            </w:r>
            <w:r w:rsidRPr="00A024FA">
              <w:t>m van wonen</w:t>
            </w:r>
            <w:r>
              <w:t>.</w:t>
            </w:r>
          </w:p>
        </w:tc>
        <w:tc>
          <w:tcPr>
            <w:tcW w:w="3544" w:type="dxa"/>
          </w:tcPr>
          <w:p w14:paraId="7B754E85" w14:textId="0E465E51" w:rsidR="00A86396" w:rsidRDefault="00A86396" w:rsidP="003C7410">
            <w:r>
              <w:t>Werk en dagbesteding</w:t>
            </w:r>
            <w:r w:rsidR="004366C1">
              <w:t>. […]</w:t>
            </w:r>
            <w:r>
              <w:rPr>
                <w:rFonts w:cs="Verdana"/>
                <w:szCs w:val="20"/>
              </w:rPr>
              <w:t xml:space="preserve"> heeft een uitgebreid netwerk en samenwerkingspartners. Dit varieert van ambulante begeleiding tot woonaanbieders, behandelaren, </w:t>
            </w:r>
            <w:r w:rsidRPr="00CD253B">
              <w:rPr>
                <w:rFonts w:cs="Verdana"/>
                <w:szCs w:val="20"/>
              </w:rPr>
              <w:t>wmo maatwerk/wlz/ justitie, re-integratie</w:t>
            </w:r>
            <w:r>
              <w:rPr>
                <w:rFonts w:cs="Verdana"/>
                <w:szCs w:val="20"/>
              </w:rPr>
              <w:t>.</w:t>
            </w:r>
          </w:p>
        </w:tc>
        <w:tc>
          <w:tcPr>
            <w:tcW w:w="3856" w:type="dxa"/>
          </w:tcPr>
          <w:p w14:paraId="5E524843" w14:textId="77777777" w:rsidR="00A86396" w:rsidRPr="005E396C" w:rsidRDefault="00A86396" w:rsidP="003C7410">
            <w:pPr>
              <w:rPr>
                <w:szCs w:val="20"/>
              </w:rPr>
            </w:pPr>
            <w:r w:rsidRPr="005E396C">
              <w:rPr>
                <w:szCs w:val="20"/>
              </w:rPr>
              <w:t>GGZ-instellingen, VNN, Cosis, SchuldHulpMaatje en SWW.</w:t>
            </w:r>
          </w:p>
        </w:tc>
      </w:tr>
      <w:tr w:rsidR="00A86396" w14:paraId="211493DE" w14:textId="77777777" w:rsidTr="00341113">
        <w:tc>
          <w:tcPr>
            <w:tcW w:w="3227" w:type="dxa"/>
          </w:tcPr>
          <w:p w14:paraId="630118B4" w14:textId="77777777" w:rsidR="00A86396" w:rsidRPr="00EF05A7" w:rsidRDefault="00A86396" w:rsidP="003C7410">
            <w:pPr>
              <w:rPr>
                <w:b/>
                <w:bCs/>
                <w:i/>
                <w:iCs/>
              </w:rPr>
            </w:pPr>
            <w:r w:rsidRPr="00EF05A7">
              <w:rPr>
                <w:b/>
                <w:bCs/>
                <w:i/>
                <w:iCs/>
              </w:rPr>
              <w:t>Hoe moet de prijs worden meegenomen?</w:t>
            </w:r>
          </w:p>
        </w:tc>
        <w:tc>
          <w:tcPr>
            <w:tcW w:w="3827" w:type="dxa"/>
          </w:tcPr>
          <w:p w14:paraId="3C1D8E3A" w14:textId="77777777" w:rsidR="00A86396" w:rsidRDefault="00A86396" w:rsidP="003C7410">
            <w:r>
              <w:t>K</w:t>
            </w:r>
            <w:r w:rsidRPr="00A024FA">
              <w:t xml:space="preserve">ostprijs </w:t>
            </w:r>
            <w:r>
              <w:t>vaststellen</w:t>
            </w:r>
            <w:r w:rsidRPr="00A024FA">
              <w:t xml:space="preserve"> op </w:t>
            </w:r>
            <w:r>
              <w:t xml:space="preserve">basis van </w:t>
            </w:r>
            <w:r w:rsidRPr="00A024FA">
              <w:t>criteria</w:t>
            </w:r>
            <w:r>
              <w:t xml:space="preserve"> en geen </w:t>
            </w:r>
            <w:r w:rsidRPr="00A024FA">
              <w:t xml:space="preserve">onderdeel </w:t>
            </w:r>
            <w:r>
              <w:t xml:space="preserve">laten zijn </w:t>
            </w:r>
            <w:r w:rsidRPr="00A024FA">
              <w:t>van de gunning</w:t>
            </w:r>
            <w:r>
              <w:t>.</w:t>
            </w:r>
          </w:p>
        </w:tc>
        <w:tc>
          <w:tcPr>
            <w:tcW w:w="3544" w:type="dxa"/>
          </w:tcPr>
          <w:p w14:paraId="54E622EE" w14:textId="77777777" w:rsidR="00A86396" w:rsidRPr="0093486A" w:rsidRDefault="00A86396" w:rsidP="003C7410">
            <w:pPr>
              <w:autoSpaceDE w:val="0"/>
              <w:autoSpaceDN w:val="0"/>
              <w:adjustRightInd w:val="0"/>
              <w:rPr>
                <w:rFonts w:cs="Verdana"/>
                <w:szCs w:val="20"/>
              </w:rPr>
            </w:pPr>
            <w:r>
              <w:rPr>
                <w:rFonts w:cs="Verdana"/>
                <w:szCs w:val="20"/>
              </w:rPr>
              <w:t xml:space="preserve">Het liefst werken we met een open begroting waarin alle kosten als huisvesting, personeel en overhead in terug te vinden zijn. </w:t>
            </w:r>
          </w:p>
        </w:tc>
        <w:tc>
          <w:tcPr>
            <w:tcW w:w="3856" w:type="dxa"/>
          </w:tcPr>
          <w:p w14:paraId="1BD6F8D4" w14:textId="77777777" w:rsidR="00A86396" w:rsidRPr="005E396C" w:rsidRDefault="00A86396" w:rsidP="003C7410">
            <w:pPr>
              <w:rPr>
                <w:szCs w:val="20"/>
              </w:rPr>
            </w:pPr>
            <w:r w:rsidRPr="005E396C">
              <w:rPr>
                <w:szCs w:val="20"/>
              </w:rPr>
              <w:t>Voorbeeld is de aanbesteding Inloop voor Ontmoeting Assen (febr ’22). Hierbij telt de prijs voor 25 % mee. Verder het advies om méér voorschrijvend te zijn m.b.t. de kostprijselementen, bijvoorbeeld een percentage voor overheadkosten. Indexatie kan objectief worden voorgeschreven, o.b.v. landelijke richtlijnen.</w:t>
            </w:r>
          </w:p>
        </w:tc>
      </w:tr>
      <w:tr w:rsidR="00A86396" w14:paraId="5C065891" w14:textId="77777777" w:rsidTr="00341113">
        <w:tc>
          <w:tcPr>
            <w:tcW w:w="3227" w:type="dxa"/>
          </w:tcPr>
          <w:p w14:paraId="2D795DA1" w14:textId="77777777" w:rsidR="00A86396" w:rsidRPr="00EF05A7" w:rsidRDefault="00A86396" w:rsidP="003C7410">
            <w:pPr>
              <w:rPr>
                <w:b/>
                <w:bCs/>
                <w:i/>
                <w:iCs/>
              </w:rPr>
            </w:pPr>
            <w:r w:rsidRPr="00EF05A7">
              <w:rPr>
                <w:b/>
                <w:bCs/>
                <w:i/>
                <w:iCs/>
              </w:rPr>
              <w:t>Relevante ontwikkelingen en kansen in de markt.</w:t>
            </w:r>
          </w:p>
        </w:tc>
        <w:tc>
          <w:tcPr>
            <w:tcW w:w="3827" w:type="dxa"/>
          </w:tcPr>
          <w:p w14:paraId="2409A2E3" w14:textId="77777777" w:rsidR="00A86396" w:rsidRDefault="00A86396" w:rsidP="003C7410">
            <w:r w:rsidRPr="00A024FA">
              <w:t>De landelijke geformuleerde beleidslijn rondom de woningopgave</w:t>
            </w:r>
            <w:r>
              <w:t xml:space="preserve">. Hierin dak- en thuislozen meenemen. Uitkomst hiervan zou moeten zijn dat er minder gebruik van opvang wordt gemaakt en dat er meer mensen regulier wonen, </w:t>
            </w:r>
            <w:r>
              <w:lastRenderedPageBreak/>
              <w:t>waar nodig met schaalbare ambulante ondersteuning.</w:t>
            </w:r>
          </w:p>
        </w:tc>
        <w:tc>
          <w:tcPr>
            <w:tcW w:w="3544" w:type="dxa"/>
          </w:tcPr>
          <w:p w14:paraId="20BA9730" w14:textId="77777777" w:rsidR="00A86396" w:rsidRDefault="00A86396" w:rsidP="003C7410">
            <w:pPr>
              <w:rPr>
                <w:rFonts w:cs="Verdana"/>
                <w:szCs w:val="20"/>
              </w:rPr>
            </w:pPr>
            <w:r>
              <w:rPr>
                <w:rFonts w:cs="Verdana"/>
                <w:szCs w:val="20"/>
              </w:rPr>
              <w:lastRenderedPageBreak/>
              <w:t>Het is wenselijk dat er de mogelijkheid is om naast de inloop ook zinvolle dagbesteding te kunnen bieden.</w:t>
            </w:r>
          </w:p>
          <w:p w14:paraId="3146D32C" w14:textId="77777777" w:rsidR="00A86396" w:rsidRDefault="00A86396" w:rsidP="003C7410">
            <w:pPr>
              <w:rPr>
                <w:rFonts w:cs="Verdana"/>
                <w:szCs w:val="20"/>
              </w:rPr>
            </w:pPr>
            <w:r w:rsidRPr="00275181">
              <w:rPr>
                <w:rFonts w:cs="Verdana"/>
                <w:szCs w:val="20"/>
              </w:rPr>
              <w:t xml:space="preserve">Als er gewerkt kan worden met een </w:t>
            </w:r>
            <w:r w:rsidRPr="00275181">
              <w:rPr>
                <w:rFonts w:cs="Verdana"/>
                <w:szCs w:val="20"/>
              </w:rPr>
              <w:lastRenderedPageBreak/>
              <w:t xml:space="preserve">subsidie kunnen we sneller schakelen, zonder tegen wachttijden van bijvoorbeeld </w:t>
            </w:r>
            <w:proofErr w:type="gramStart"/>
            <w:r w:rsidRPr="00275181">
              <w:rPr>
                <w:rFonts w:cs="Verdana"/>
                <w:szCs w:val="20"/>
              </w:rPr>
              <w:t>de  WMO</w:t>
            </w:r>
            <w:proofErr w:type="gramEnd"/>
            <w:r w:rsidRPr="00275181">
              <w:rPr>
                <w:rFonts w:cs="Verdana"/>
                <w:szCs w:val="20"/>
              </w:rPr>
              <w:t xml:space="preserve"> aan te lopen</w:t>
            </w:r>
            <w:r>
              <w:rPr>
                <w:rFonts w:cs="Verdana"/>
                <w:szCs w:val="20"/>
              </w:rPr>
              <w:t>.</w:t>
            </w:r>
          </w:p>
          <w:p w14:paraId="05200472" w14:textId="77777777" w:rsidR="00A86396" w:rsidRDefault="00A86396" w:rsidP="003C7410">
            <w:r w:rsidRPr="00275181">
              <w:rPr>
                <w:rFonts w:cs="Verdana"/>
                <w:szCs w:val="20"/>
              </w:rPr>
              <w:t>Vanuit de inloop en/of dagbesteding hebben we ervaring met het koppelen van individuele begeleiding. Hulpvragen op meerdere leefgebieden worden zo opgepakt en/ of weggezet.</w:t>
            </w:r>
          </w:p>
        </w:tc>
        <w:tc>
          <w:tcPr>
            <w:tcW w:w="3856" w:type="dxa"/>
          </w:tcPr>
          <w:p w14:paraId="38574B80" w14:textId="77777777" w:rsidR="00A86396" w:rsidRDefault="00A86396" w:rsidP="003C7410">
            <w:r w:rsidRPr="004B5025">
              <w:lastRenderedPageBreak/>
              <w:t xml:space="preserve">Toenemende armoede en </w:t>
            </w:r>
            <w:proofErr w:type="gramStart"/>
            <w:r w:rsidRPr="004B5025">
              <w:t>schulden problematiek</w:t>
            </w:r>
            <w:proofErr w:type="gramEnd"/>
            <w:r>
              <w:t xml:space="preserve">. </w:t>
            </w:r>
            <w:r w:rsidRPr="004B5025">
              <w:t>Decentralisatie, waarbij de gemeente verantwoordelijk is voor nieuwe doelgroepen (Beschermd Wonen; Beschermd Thuis etc.)</w:t>
            </w:r>
            <w:r>
              <w:t>.</w:t>
            </w:r>
          </w:p>
          <w:p w14:paraId="07F84F49" w14:textId="77777777" w:rsidR="00A86396" w:rsidRDefault="00A86396" w:rsidP="003C7410">
            <w:r w:rsidRPr="004B5025">
              <w:lastRenderedPageBreak/>
              <w:t>Investeer in een goede sociale basis</w:t>
            </w:r>
            <w:r>
              <w:t>.</w:t>
            </w:r>
          </w:p>
        </w:tc>
      </w:tr>
      <w:tr w:rsidR="00A86396" w14:paraId="646013E5" w14:textId="77777777" w:rsidTr="00341113">
        <w:tc>
          <w:tcPr>
            <w:tcW w:w="3227" w:type="dxa"/>
          </w:tcPr>
          <w:p w14:paraId="7A80A397" w14:textId="77777777" w:rsidR="00A86396" w:rsidRPr="00EF05A7" w:rsidRDefault="00A86396" w:rsidP="003C7410">
            <w:pPr>
              <w:rPr>
                <w:b/>
                <w:bCs/>
                <w:i/>
                <w:iCs/>
              </w:rPr>
            </w:pPr>
            <w:r w:rsidRPr="00EF05A7">
              <w:rPr>
                <w:b/>
                <w:bCs/>
                <w:i/>
                <w:iCs/>
              </w:rPr>
              <w:lastRenderedPageBreak/>
              <w:t>Op welke wijze relevante ontwikkelingen en kansen uitvragen.</w:t>
            </w:r>
          </w:p>
        </w:tc>
        <w:tc>
          <w:tcPr>
            <w:tcW w:w="3827" w:type="dxa"/>
          </w:tcPr>
          <w:p w14:paraId="3410CDCB" w14:textId="77777777" w:rsidR="00A86396" w:rsidRDefault="00A86396" w:rsidP="003C7410">
            <w:r w:rsidRPr="003F0F0E">
              <w:t>Wij lichten dit graag toe in een gesprek</w:t>
            </w:r>
            <w:r>
              <w:t>.</w:t>
            </w:r>
          </w:p>
        </w:tc>
        <w:tc>
          <w:tcPr>
            <w:tcW w:w="3544" w:type="dxa"/>
          </w:tcPr>
          <w:p w14:paraId="03B3BAFE" w14:textId="77777777" w:rsidR="00A86396" w:rsidRDefault="00A86396" w:rsidP="003C7410">
            <w:r w:rsidRPr="00275181">
              <w:rPr>
                <w:rFonts w:cs="Verdana"/>
                <w:szCs w:val="20"/>
              </w:rPr>
              <w:t>Door met elkaar in gesprek te gaan kunnen we goed verkennen wat verwachtingen en mogelijkheden zijn</w:t>
            </w:r>
            <w:r>
              <w:rPr>
                <w:rFonts w:cs="Verdana"/>
                <w:szCs w:val="20"/>
              </w:rPr>
              <w:t>.</w:t>
            </w:r>
          </w:p>
        </w:tc>
        <w:tc>
          <w:tcPr>
            <w:tcW w:w="3856" w:type="dxa"/>
          </w:tcPr>
          <w:p w14:paraId="21195860" w14:textId="77777777" w:rsidR="00A86396" w:rsidRDefault="00A86396" w:rsidP="003C7410">
            <w:r>
              <w:t>U bent welkom om erover met ons in gesprek te gaan.</w:t>
            </w:r>
          </w:p>
        </w:tc>
      </w:tr>
      <w:tr w:rsidR="00A86396" w14:paraId="5D8EAD66" w14:textId="77777777" w:rsidTr="00341113">
        <w:tc>
          <w:tcPr>
            <w:tcW w:w="3227" w:type="dxa"/>
          </w:tcPr>
          <w:p w14:paraId="54E81ACC" w14:textId="77777777" w:rsidR="00A86396" w:rsidRPr="00EF05A7" w:rsidRDefault="00A86396" w:rsidP="003C7410">
            <w:pPr>
              <w:rPr>
                <w:b/>
                <w:bCs/>
                <w:i/>
                <w:iCs/>
              </w:rPr>
            </w:pPr>
            <w:r w:rsidRPr="00EF05A7">
              <w:rPr>
                <w:b/>
                <w:bCs/>
                <w:i/>
                <w:iCs/>
              </w:rPr>
              <w:t>Hoe zorgen wij ervoor dat wij niet te sturend zijn?</w:t>
            </w:r>
          </w:p>
        </w:tc>
        <w:tc>
          <w:tcPr>
            <w:tcW w:w="3827" w:type="dxa"/>
          </w:tcPr>
          <w:p w14:paraId="6758DF72" w14:textId="77777777" w:rsidR="00A86396" w:rsidRDefault="00A86396" w:rsidP="003C7410">
            <w:r w:rsidRPr="003F0F0E">
              <w:t>Bij relatieve kleinschalige opvang zijn de kansen en mogelijkheden beperkt en is gemeentelijke sturing niet belemmerend. Wij zijn van mening dat een inloopvoorziening nooit een op zichzelf staande voorziening kan zijn.</w:t>
            </w:r>
          </w:p>
        </w:tc>
        <w:tc>
          <w:tcPr>
            <w:tcW w:w="3544" w:type="dxa"/>
          </w:tcPr>
          <w:p w14:paraId="5781025D" w14:textId="77777777" w:rsidR="00A86396" w:rsidRDefault="00A86396" w:rsidP="003C7410">
            <w:r>
              <w:rPr>
                <w:rFonts w:cs="Verdana"/>
                <w:szCs w:val="20"/>
              </w:rPr>
              <w:t>Goed contact en vertrouwen.</w:t>
            </w:r>
          </w:p>
        </w:tc>
        <w:tc>
          <w:tcPr>
            <w:tcW w:w="3856" w:type="dxa"/>
          </w:tcPr>
          <w:p w14:paraId="0B447D7C" w14:textId="77777777" w:rsidR="00A86396" w:rsidRPr="00D548A9" w:rsidRDefault="00A86396" w:rsidP="003C7410">
            <w:pPr>
              <w:rPr>
                <w:szCs w:val="20"/>
              </w:rPr>
            </w:pPr>
            <w:r w:rsidRPr="00D548A9">
              <w:rPr>
                <w:szCs w:val="20"/>
              </w:rPr>
              <w:t>Sturend zijn in visie en de randvoorwaarden is wenselijk. De vertaling naar het ‘hoe’ is de expertise van de exploitant/aanbieder.</w:t>
            </w:r>
          </w:p>
        </w:tc>
      </w:tr>
      <w:tr w:rsidR="00A86396" w14:paraId="5027F5D7" w14:textId="77777777" w:rsidTr="00341113">
        <w:tc>
          <w:tcPr>
            <w:tcW w:w="3227" w:type="dxa"/>
          </w:tcPr>
          <w:p w14:paraId="459F1A77" w14:textId="77777777" w:rsidR="00A86396" w:rsidRPr="00EF05A7" w:rsidRDefault="00A86396" w:rsidP="003C7410">
            <w:pPr>
              <w:rPr>
                <w:b/>
                <w:bCs/>
                <w:i/>
                <w:iCs/>
              </w:rPr>
            </w:pPr>
            <w:r w:rsidRPr="00EF05A7">
              <w:rPr>
                <w:b/>
                <w:bCs/>
                <w:i/>
                <w:iCs/>
              </w:rPr>
              <w:t>Opmerkingen en suggesties</w:t>
            </w:r>
          </w:p>
        </w:tc>
        <w:tc>
          <w:tcPr>
            <w:tcW w:w="3827" w:type="dxa"/>
          </w:tcPr>
          <w:p w14:paraId="03C71D1A" w14:textId="77777777" w:rsidR="00A86396" w:rsidRDefault="00A86396" w:rsidP="003C7410">
            <w:r>
              <w:t>Sluiten graag aan bij de woon- en zorg visie van de (nieuwe centrum-) gemeente. Vragen ons af of de inloopvoorziening, gericht op een klein deel van de groep,</w:t>
            </w:r>
          </w:p>
          <w:p w14:paraId="08B42812" w14:textId="77777777" w:rsidR="00A86396" w:rsidRDefault="00A86396" w:rsidP="003C7410">
            <w:proofErr w:type="gramStart"/>
            <w:r>
              <w:lastRenderedPageBreak/>
              <w:t>de</w:t>
            </w:r>
            <w:proofErr w:type="gramEnd"/>
            <w:r>
              <w:t xml:space="preserve"> beste oplossing is. Gezien het landelijk beeld van de toename van de dak- en thuislozen vermoeden wij dat het aantal dak- en thuislozen in uw (nieuwe centrum) gemeente groter is.</w:t>
            </w:r>
          </w:p>
        </w:tc>
        <w:tc>
          <w:tcPr>
            <w:tcW w:w="3544" w:type="dxa"/>
          </w:tcPr>
          <w:p w14:paraId="0271E1CE" w14:textId="77777777" w:rsidR="00A86396" w:rsidRDefault="00A86396" w:rsidP="003C7410"/>
        </w:tc>
        <w:tc>
          <w:tcPr>
            <w:tcW w:w="3856" w:type="dxa"/>
          </w:tcPr>
          <w:p w14:paraId="65F05634" w14:textId="77777777" w:rsidR="00A86396" w:rsidRPr="00D548A9" w:rsidRDefault="00A86396" w:rsidP="003C7410">
            <w:pPr>
              <w:rPr>
                <w:szCs w:val="20"/>
              </w:rPr>
            </w:pPr>
            <w:r w:rsidRPr="00D548A9">
              <w:rPr>
                <w:szCs w:val="20"/>
              </w:rPr>
              <w:t>Ons advies is om een overgangsperiode van een jaar te nemen voor de implementatie van het nieuwe contract en het beëindigen van het oude (indien van toepassing).</w:t>
            </w:r>
          </w:p>
        </w:tc>
      </w:tr>
    </w:tbl>
    <w:p w14:paraId="280F07A2" w14:textId="77777777" w:rsidR="00A86396" w:rsidRDefault="00A86396" w:rsidP="00F16829"/>
    <w:sectPr w:rsidR="00A86396" w:rsidSect="00A8639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72B11" w14:textId="77777777" w:rsidR="00C64CC6" w:rsidRDefault="00C64CC6" w:rsidP="00C64CC6">
      <w:pPr>
        <w:spacing w:after="0" w:line="240" w:lineRule="auto"/>
      </w:pPr>
      <w:r>
        <w:separator/>
      </w:r>
    </w:p>
  </w:endnote>
  <w:endnote w:type="continuationSeparator" w:id="0">
    <w:p w14:paraId="28722660" w14:textId="77777777" w:rsidR="00C64CC6" w:rsidRDefault="00C64CC6" w:rsidP="00C64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48DC8" w14:textId="77777777" w:rsidR="00C64CC6" w:rsidRDefault="00C64CC6" w:rsidP="00C64CC6">
      <w:pPr>
        <w:spacing w:after="0" w:line="240" w:lineRule="auto"/>
      </w:pPr>
      <w:r>
        <w:separator/>
      </w:r>
    </w:p>
  </w:footnote>
  <w:footnote w:type="continuationSeparator" w:id="0">
    <w:p w14:paraId="19922DC2" w14:textId="77777777" w:rsidR="00C64CC6" w:rsidRDefault="00C64CC6" w:rsidP="00C64CC6">
      <w:pPr>
        <w:spacing w:after="0" w:line="240" w:lineRule="auto"/>
      </w:pPr>
      <w:r>
        <w:continuationSeparator/>
      </w:r>
    </w:p>
  </w:footnote>
  <w:footnote w:id="1">
    <w:p w14:paraId="0D225E66" w14:textId="4C0B2F3A" w:rsidR="00C64CC6" w:rsidRDefault="00C64CC6">
      <w:pPr>
        <w:pStyle w:val="Voetnoottekst"/>
      </w:pPr>
      <w:r>
        <w:rPr>
          <w:rStyle w:val="Voetnootmarkering"/>
        </w:rPr>
        <w:footnoteRef/>
      </w:r>
      <w:r>
        <w:t xml:space="preserve"> </w:t>
      </w:r>
      <w:r w:rsidR="004366C1">
        <w:t>Toelichting: de beoogde planning voor het aanbestedingsproces ten tijde van de marktconsultatie</w:t>
      </w:r>
      <w:r w:rsidR="00F16829">
        <w:t xml:space="preserve">, bleek </w:t>
      </w:r>
      <w:r w:rsidR="004366C1">
        <w:t>niet haalbaar</w:t>
      </w:r>
      <w:r w:rsidR="00F16829">
        <w:t>. D</w:t>
      </w:r>
      <w:r w:rsidR="004366C1">
        <w:t xml:space="preserve">aarom heeft de gemeente Hoogeveen ervoor gekozen dat uiterlijk 1 juli </w:t>
      </w:r>
      <w:r w:rsidR="00695143">
        <w:t xml:space="preserve">2025 </w:t>
      </w:r>
      <w:r w:rsidR="004366C1">
        <w:t>de gunning plaatsvindt zodat de potentiële aanbieder 1 januari</w:t>
      </w:r>
      <w:r w:rsidR="00695143">
        <w:t xml:space="preserve"> 2024</w:t>
      </w:r>
      <w:r w:rsidR="004366C1">
        <w:t xml:space="preserve"> kan starten.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6396"/>
    <w:rsid w:val="002F57C7"/>
    <w:rsid w:val="003165EF"/>
    <w:rsid w:val="00341113"/>
    <w:rsid w:val="004366C1"/>
    <w:rsid w:val="004E45D0"/>
    <w:rsid w:val="00635E10"/>
    <w:rsid w:val="00695143"/>
    <w:rsid w:val="0087731C"/>
    <w:rsid w:val="009C747F"/>
    <w:rsid w:val="00A86396"/>
    <w:rsid w:val="00C64CC6"/>
    <w:rsid w:val="00D205EC"/>
    <w:rsid w:val="00EF05A7"/>
    <w:rsid w:val="00F0142C"/>
    <w:rsid w:val="00F168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286EA"/>
  <w15:chartTrackingRefBased/>
  <w15:docId w15:val="{46359735-1813-44B5-B1BA-0098E1A1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6396"/>
    <w:pPr>
      <w:spacing w:after="200" w:line="276" w:lineRule="auto"/>
    </w:pPr>
    <w:rPr>
      <w:rFonts w:asciiTheme="minorHAnsi" w:hAnsiTheme="minorHAnsi"/>
      <w:kern w:val="0"/>
      <w:sz w:val="22"/>
    </w:rPr>
  </w:style>
  <w:style w:type="paragraph" w:styleId="Kop1">
    <w:name w:val="heading 1"/>
    <w:basedOn w:val="Standaard"/>
    <w:next w:val="Standaard"/>
    <w:link w:val="Kop1Char"/>
    <w:qFormat/>
    <w:rsid w:val="00A863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863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8639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8639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8639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863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63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63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63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8639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8639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86396"/>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A86396"/>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A86396"/>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A8639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8639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8639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8639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86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63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63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639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863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6396"/>
    <w:rPr>
      <w:i/>
      <w:iCs/>
      <w:color w:val="404040" w:themeColor="text1" w:themeTint="BF"/>
    </w:rPr>
  </w:style>
  <w:style w:type="paragraph" w:styleId="Lijstalinea">
    <w:name w:val="List Paragraph"/>
    <w:basedOn w:val="Standaard"/>
    <w:uiPriority w:val="34"/>
    <w:qFormat/>
    <w:rsid w:val="00A86396"/>
    <w:pPr>
      <w:ind w:left="720"/>
      <w:contextualSpacing/>
    </w:pPr>
  </w:style>
  <w:style w:type="character" w:styleId="Intensievebenadrukking">
    <w:name w:val="Intense Emphasis"/>
    <w:basedOn w:val="Standaardalinea-lettertype"/>
    <w:uiPriority w:val="21"/>
    <w:qFormat/>
    <w:rsid w:val="00A86396"/>
    <w:rPr>
      <w:i/>
      <w:iCs/>
      <w:color w:val="2F5496" w:themeColor="accent1" w:themeShade="BF"/>
    </w:rPr>
  </w:style>
  <w:style w:type="paragraph" w:styleId="Duidelijkcitaat">
    <w:name w:val="Intense Quote"/>
    <w:basedOn w:val="Standaard"/>
    <w:next w:val="Standaard"/>
    <w:link w:val="DuidelijkcitaatChar"/>
    <w:uiPriority w:val="30"/>
    <w:qFormat/>
    <w:rsid w:val="00A863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86396"/>
    <w:rPr>
      <w:i/>
      <w:iCs/>
      <w:color w:val="2F5496" w:themeColor="accent1" w:themeShade="BF"/>
    </w:rPr>
  </w:style>
  <w:style w:type="character" w:styleId="Intensieveverwijzing">
    <w:name w:val="Intense Reference"/>
    <w:basedOn w:val="Standaardalinea-lettertype"/>
    <w:uiPriority w:val="32"/>
    <w:qFormat/>
    <w:rsid w:val="00A86396"/>
    <w:rPr>
      <w:b/>
      <w:bCs/>
      <w:smallCaps/>
      <w:color w:val="2F5496" w:themeColor="accent1" w:themeShade="BF"/>
      <w:spacing w:val="5"/>
    </w:rPr>
  </w:style>
  <w:style w:type="table" w:styleId="Tabelraster">
    <w:name w:val="Table Grid"/>
    <w:basedOn w:val="Standaardtabel"/>
    <w:uiPriority w:val="59"/>
    <w:rsid w:val="00A86396"/>
    <w:pPr>
      <w:spacing w:after="0" w:line="240" w:lineRule="auto"/>
    </w:pPr>
    <w:rPr>
      <w:rFonts w:asciiTheme="minorHAnsi" w:hAnsiTheme="minorHAns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8639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C64CC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64CC6"/>
    <w:rPr>
      <w:rFonts w:asciiTheme="minorHAnsi" w:hAnsiTheme="minorHAnsi"/>
      <w:kern w:val="0"/>
      <w:szCs w:val="20"/>
    </w:rPr>
  </w:style>
  <w:style w:type="character" w:styleId="Voetnootmarkering">
    <w:name w:val="footnote reference"/>
    <w:basedOn w:val="Standaardalinea-lettertype"/>
    <w:uiPriority w:val="99"/>
    <w:semiHidden/>
    <w:unhideWhenUsed/>
    <w:rsid w:val="00C64C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1FF2A-41B5-4DA3-AFF7-F661D7260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1219</Words>
  <Characters>6710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Samenwerkingsorganisatie de Wolden Hoogeveen</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Pronk-Tijmens, Lisette</dc:creator>
  <cp:keywords/>
  <dc:description/>
  <cp:lastModifiedBy>Boersma-Wind, Krista</cp:lastModifiedBy>
  <cp:revision>3</cp:revision>
  <dcterms:created xsi:type="dcterms:W3CDTF">2025-01-23T19:47:00Z</dcterms:created>
  <dcterms:modified xsi:type="dcterms:W3CDTF">2025-01-23T19:47:00Z</dcterms:modified>
</cp:coreProperties>
</file>