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652B6" w14:textId="1CEF09BE"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 xml:space="preserve">BIJLAGE: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r w:rsidR="000956DF">
        <w:rPr>
          <w:rFonts w:asciiTheme="minorHAnsi" w:hAnsiTheme="minorHAnsi"/>
          <w:sz w:val="22"/>
        </w:rPr>
        <w:t xml:space="preserve"> </w:t>
      </w:r>
      <w:r w:rsidR="000956DF">
        <w:rPr>
          <w:rFonts w:asciiTheme="minorHAnsi" w:hAnsiTheme="minorHAnsi"/>
          <w:sz w:val="22"/>
          <w:szCs w:val="22"/>
        </w:rPr>
        <w:t>IT Hardware Bibliotheek Utrecht</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0956DF"/>
    <w:rsid w:val="00224256"/>
    <w:rsid w:val="0025628E"/>
    <w:rsid w:val="003B195A"/>
    <w:rsid w:val="006A185B"/>
    <w:rsid w:val="006A1C3E"/>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1520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Marco Koopal</cp:lastModifiedBy>
  <cp:revision>3</cp:revision>
  <dcterms:created xsi:type="dcterms:W3CDTF">2022-07-01T10:05:00Z</dcterms:created>
  <dcterms:modified xsi:type="dcterms:W3CDTF">2024-11-24T12:36:00Z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