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CFCA" w14:textId="40BF849C" w:rsidR="009D7A2E" w:rsidRDefault="00B87575" w:rsidP="009D7A2E">
      <w:pPr>
        <w:rPr>
          <w:b/>
          <w:bCs/>
        </w:rPr>
      </w:pPr>
      <w:r w:rsidRPr="00CD6E03">
        <w:rPr>
          <w:b/>
          <w:bCs/>
        </w:rPr>
        <w:t>B</w:t>
      </w:r>
      <w:r w:rsidR="00E63E57" w:rsidRPr="00CD6E03">
        <w:rPr>
          <w:b/>
          <w:bCs/>
        </w:rPr>
        <w:t xml:space="preserve">IJLAGE </w:t>
      </w:r>
      <w:r w:rsidR="008D36A2" w:rsidRPr="00CD6E03">
        <w:rPr>
          <w:b/>
          <w:bCs/>
        </w:rPr>
        <w:t xml:space="preserve">7 </w:t>
      </w:r>
      <w:r w:rsidR="009D7A2E" w:rsidRPr="00CD6E03">
        <w:rPr>
          <w:b/>
          <w:bCs/>
        </w:rPr>
        <w:t>K</w:t>
      </w:r>
      <w:r w:rsidR="00157557">
        <w:rPr>
          <w:b/>
          <w:bCs/>
        </w:rPr>
        <w:t>7</w:t>
      </w:r>
      <w:r w:rsidR="009D7A2E" w:rsidRPr="00CD6E03">
        <w:rPr>
          <w:b/>
          <w:bCs/>
        </w:rPr>
        <w:t xml:space="preserve">. </w:t>
      </w:r>
      <w:r w:rsidR="006950D8" w:rsidRPr="00CD6E03">
        <w:rPr>
          <w:b/>
          <w:bCs/>
        </w:rPr>
        <w:t>V</w:t>
      </w:r>
      <w:r w:rsidR="00CD6E03" w:rsidRPr="00CD6E03">
        <w:rPr>
          <w:b/>
          <w:bCs/>
        </w:rPr>
        <w:t>RAGEN</w:t>
      </w: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61"/>
        <w:gridCol w:w="5426"/>
        <w:gridCol w:w="992"/>
        <w:gridCol w:w="893"/>
      </w:tblGrid>
      <w:tr w:rsidR="00132447" w:rsidRPr="00132447" w14:paraId="6E0AD52F" w14:textId="77777777" w:rsidTr="00607025">
        <w:tc>
          <w:tcPr>
            <w:tcW w:w="1761" w:type="dxa"/>
            <w:tcBorders>
              <w:top w:val="single" w:sz="12" w:space="0" w:color="808080"/>
              <w:left w:val="single" w:sz="12" w:space="0" w:color="808080"/>
              <w:bottom w:val="single" w:sz="12" w:space="0" w:color="808080"/>
              <w:right w:val="single" w:sz="12" w:space="0" w:color="808080"/>
            </w:tcBorders>
            <w:shd w:val="clear" w:color="auto" w:fill="CCCCCC"/>
          </w:tcPr>
          <w:p w14:paraId="0B7FCAB3"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
                <w:bCs/>
                <w:sz w:val="18"/>
                <w:szCs w:val="18"/>
                <w:lang w:eastAsia="nl-NL"/>
              </w:rPr>
            </w:pPr>
            <w:r w:rsidRPr="00132447">
              <w:rPr>
                <w:rFonts w:ascii="Trebuchet MS" w:eastAsia="Times New Roman" w:hAnsi="Trebuchet MS" w:cs="Calibri"/>
                <w:b/>
                <w:bCs/>
                <w:sz w:val="18"/>
                <w:szCs w:val="18"/>
                <w:lang w:eastAsia="nl-NL"/>
              </w:rPr>
              <w:t>K7.</w:t>
            </w:r>
          </w:p>
        </w:tc>
        <w:tc>
          <w:tcPr>
            <w:tcW w:w="7311"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08FF730"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
                <w:bCs/>
                <w:sz w:val="18"/>
                <w:szCs w:val="18"/>
                <w:lang w:val="en-US" w:eastAsia="nl-NL"/>
              </w:rPr>
            </w:pPr>
            <w:proofErr w:type="spellStart"/>
            <w:r w:rsidRPr="00132447">
              <w:rPr>
                <w:rFonts w:ascii="Trebuchet MS" w:eastAsia="Times New Roman" w:hAnsi="Trebuchet MS" w:cs="Calibri"/>
                <w:b/>
                <w:bCs/>
                <w:sz w:val="18"/>
                <w:szCs w:val="18"/>
                <w:lang w:val="en-US" w:eastAsia="nl-NL"/>
              </w:rPr>
              <w:t>Vragen</w:t>
            </w:r>
            <w:proofErr w:type="spellEnd"/>
            <w:r w:rsidRPr="00132447">
              <w:rPr>
                <w:rFonts w:ascii="Trebuchet MS" w:eastAsia="Times New Roman" w:hAnsi="Trebuchet MS" w:cs="Calibri"/>
                <w:b/>
                <w:bCs/>
                <w:sz w:val="18"/>
                <w:szCs w:val="18"/>
                <w:lang w:val="en-US" w:eastAsia="nl-NL"/>
              </w:rPr>
              <w:t xml:space="preserve"> Ja/Nee</w:t>
            </w:r>
          </w:p>
        </w:tc>
      </w:tr>
      <w:tr w:rsidR="00132447" w:rsidRPr="00132447" w14:paraId="3B61F5F0" w14:textId="77777777" w:rsidTr="00607025">
        <w:tc>
          <w:tcPr>
            <w:tcW w:w="9072" w:type="dxa"/>
            <w:gridSpan w:val="4"/>
            <w:tcBorders>
              <w:bottom w:val="single" w:sz="8" w:space="0" w:color="C0C0C0"/>
            </w:tcBorders>
            <w:shd w:val="clear" w:color="auto" w:fill="auto"/>
          </w:tcPr>
          <w:p w14:paraId="30A169BB"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U dient onderstaande vragen met “ja” of “nee” te beantwoorden.</w:t>
            </w:r>
          </w:p>
        </w:tc>
      </w:tr>
      <w:tr w:rsidR="00132447" w:rsidRPr="00132447" w14:paraId="769F4B6F" w14:textId="77777777" w:rsidTr="00607025">
        <w:trPr>
          <w:trHeight w:val="388"/>
        </w:trPr>
        <w:tc>
          <w:tcPr>
            <w:tcW w:w="7187" w:type="dxa"/>
            <w:gridSpan w:val="2"/>
            <w:vMerge w:val="restart"/>
            <w:shd w:val="clear" w:color="auto" w:fill="E0E0E0"/>
          </w:tcPr>
          <w:p w14:paraId="3824CB35"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
                <w:bCs/>
                <w:sz w:val="18"/>
                <w:szCs w:val="18"/>
                <w:lang w:eastAsia="nl-NL"/>
              </w:rPr>
            </w:pPr>
            <w:r w:rsidRPr="00132447">
              <w:rPr>
                <w:rFonts w:ascii="Trebuchet MS" w:eastAsia="Times New Roman" w:hAnsi="Trebuchet MS" w:cs="Calibri"/>
                <w:b/>
                <w:bCs/>
                <w:sz w:val="18"/>
                <w:szCs w:val="18"/>
                <w:lang w:eastAsia="nl-NL"/>
              </w:rPr>
              <w:t>Vragen</w:t>
            </w:r>
          </w:p>
        </w:tc>
        <w:tc>
          <w:tcPr>
            <w:tcW w:w="992" w:type="dxa"/>
            <w:shd w:val="clear" w:color="auto" w:fill="E0E0E0"/>
          </w:tcPr>
          <w:p w14:paraId="769493FB"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
                <w:bCs/>
                <w:sz w:val="18"/>
                <w:szCs w:val="18"/>
                <w:lang w:eastAsia="nl-NL"/>
              </w:rPr>
            </w:pPr>
            <w:r w:rsidRPr="00132447">
              <w:rPr>
                <w:rFonts w:ascii="Trebuchet MS" w:eastAsia="Times New Roman" w:hAnsi="Trebuchet MS" w:cs="Calibri"/>
                <w:b/>
                <w:bCs/>
                <w:sz w:val="18"/>
                <w:szCs w:val="18"/>
                <w:lang w:eastAsia="nl-NL"/>
              </w:rPr>
              <w:t>Ja</w:t>
            </w:r>
          </w:p>
        </w:tc>
        <w:tc>
          <w:tcPr>
            <w:tcW w:w="893" w:type="dxa"/>
            <w:shd w:val="clear" w:color="auto" w:fill="E0E0E0"/>
          </w:tcPr>
          <w:p w14:paraId="3CFDFB52"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
                <w:bCs/>
                <w:sz w:val="18"/>
                <w:szCs w:val="18"/>
                <w:lang w:eastAsia="nl-NL"/>
              </w:rPr>
            </w:pPr>
            <w:r w:rsidRPr="00132447">
              <w:rPr>
                <w:rFonts w:ascii="Trebuchet MS" w:eastAsia="Times New Roman" w:hAnsi="Trebuchet MS" w:cs="Calibri"/>
                <w:b/>
                <w:bCs/>
                <w:sz w:val="18"/>
                <w:szCs w:val="18"/>
                <w:lang w:eastAsia="nl-NL"/>
              </w:rPr>
              <w:t>Ja/Nee</w:t>
            </w:r>
          </w:p>
        </w:tc>
      </w:tr>
      <w:tr w:rsidR="00132447" w:rsidRPr="00132447" w14:paraId="09F24D06" w14:textId="77777777" w:rsidTr="00607025">
        <w:tc>
          <w:tcPr>
            <w:tcW w:w="7187" w:type="dxa"/>
            <w:gridSpan w:val="2"/>
            <w:vMerge/>
            <w:shd w:val="clear" w:color="auto" w:fill="auto"/>
          </w:tcPr>
          <w:p w14:paraId="581DC893"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
                <w:bCs/>
                <w:sz w:val="18"/>
                <w:szCs w:val="18"/>
                <w:lang w:eastAsia="nl-NL"/>
              </w:rPr>
            </w:pPr>
          </w:p>
        </w:tc>
        <w:tc>
          <w:tcPr>
            <w:tcW w:w="1885" w:type="dxa"/>
            <w:gridSpan w:val="2"/>
            <w:shd w:val="clear" w:color="auto" w:fill="auto"/>
          </w:tcPr>
          <w:p w14:paraId="09A494EF" w14:textId="77777777" w:rsidR="00132447" w:rsidRPr="00132447" w:rsidRDefault="00132447" w:rsidP="00132447">
            <w:pPr>
              <w:tabs>
                <w:tab w:val="left" w:pos="567"/>
              </w:tabs>
              <w:spacing w:before="90" w:afterLines="54" w:after="129" w:line="312" w:lineRule="auto"/>
              <w:ind w:right="57"/>
              <w:rPr>
                <w:rFonts w:ascii="Trebuchet MS" w:eastAsia="Times New Roman" w:hAnsi="Trebuchet MS" w:cs="Calibri"/>
                <w:b/>
                <w:bCs/>
                <w:sz w:val="18"/>
                <w:szCs w:val="18"/>
                <w:lang w:eastAsia="nl-NL"/>
              </w:rPr>
            </w:pPr>
            <w:r w:rsidRPr="00132447">
              <w:rPr>
                <w:rFonts w:ascii="Trebuchet MS" w:eastAsia="Times New Roman" w:hAnsi="Trebuchet MS" w:cs="Calibri"/>
                <w:b/>
                <w:bCs/>
                <w:sz w:val="18"/>
                <w:szCs w:val="18"/>
                <w:lang w:eastAsia="nl-NL"/>
              </w:rPr>
              <w:t>Mindering t.b.v. vergelijkingsprijs</w:t>
            </w:r>
          </w:p>
        </w:tc>
      </w:tr>
      <w:tr w:rsidR="00132447" w:rsidRPr="00132447" w14:paraId="110CD91F" w14:textId="77777777" w:rsidTr="00607025">
        <w:tc>
          <w:tcPr>
            <w:tcW w:w="7187" w:type="dxa"/>
            <w:gridSpan w:val="2"/>
            <w:shd w:val="clear" w:color="auto" w:fill="auto"/>
          </w:tcPr>
          <w:p w14:paraId="2F819B80"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1. Openbaar Onderwijs Groningen hanteert voor het betalen van goedgekeurde facturen een termijn van 30 kalenderdagen.</w:t>
            </w:r>
          </w:p>
          <w:p w14:paraId="1A373972"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 xml:space="preserve">Inschrijver gaat akkoord, voor wat betreft facturen welke binnen een termijn van 15 kalenderdagen door Openbaar Onderwijs Groningen zijn betaald, met een betalingskorting van 1,0%. </w:t>
            </w:r>
          </w:p>
          <w:p w14:paraId="53A389E1"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Eenmaal per jaar, in december of januari, stelt Inschrijver een overzicht beschikbaar waarin de facturen en betalingstermijnen zijn vermeld. Openbaar Onderwijs Groningen toetst dit overzicht.</w:t>
            </w:r>
          </w:p>
          <w:p w14:paraId="7FFE1A62" w14:textId="77777777" w:rsid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 xml:space="preserve">Inschrijver crediteert, in december of januari, 1,0% van de factuurbedragen welke hiervoor in aanmerking komen. </w:t>
            </w:r>
          </w:p>
          <w:p w14:paraId="43ED50CF" w14:textId="67A863E1" w:rsidR="00081066" w:rsidRPr="00132447" w:rsidRDefault="00081066" w:rsidP="00D33891">
            <w:pPr>
              <w:tabs>
                <w:tab w:val="left" w:pos="567"/>
              </w:tabs>
              <w:spacing w:before="90" w:afterLines="54" w:after="129" w:line="312" w:lineRule="auto"/>
              <w:ind w:right="57"/>
              <w:jc w:val="both"/>
              <w:rPr>
                <w:rFonts w:ascii="Trebuchet MS" w:eastAsia="Times New Roman" w:hAnsi="Trebuchet MS" w:cs="Calibri"/>
                <w:bCs/>
                <w:sz w:val="18"/>
                <w:szCs w:val="18"/>
                <w:highlight w:val="cyan"/>
                <w:lang w:eastAsia="nl-NL"/>
              </w:rPr>
            </w:pPr>
            <w:r w:rsidRPr="00081066">
              <w:rPr>
                <w:rFonts w:ascii="Trebuchet MS" w:hAnsi="Trebuchet MS" w:cs="Calibri"/>
                <w:color w:val="FF0000"/>
                <w:sz w:val="18"/>
                <w:szCs w:val="18"/>
              </w:rPr>
              <w:t xml:space="preserve">Betalingskorting/creditering wordt gemaximaliseerd tot een bedrag van € </w:t>
            </w:r>
            <w:r w:rsidR="008E4871">
              <w:rPr>
                <w:rFonts w:ascii="Trebuchet MS" w:hAnsi="Trebuchet MS" w:cs="Calibri"/>
                <w:color w:val="FF0000"/>
                <w:sz w:val="18"/>
                <w:szCs w:val="18"/>
              </w:rPr>
              <w:t>5</w:t>
            </w:r>
            <w:r w:rsidRPr="00081066">
              <w:rPr>
                <w:rFonts w:ascii="Trebuchet MS" w:hAnsi="Trebuchet MS" w:cs="Calibri"/>
                <w:color w:val="FF0000"/>
                <w:sz w:val="18"/>
                <w:szCs w:val="18"/>
              </w:rPr>
              <w:t>.</w:t>
            </w:r>
            <w:r w:rsidR="008E4871">
              <w:rPr>
                <w:rFonts w:ascii="Trebuchet MS" w:hAnsi="Trebuchet MS" w:cs="Calibri"/>
                <w:color w:val="FF0000"/>
                <w:sz w:val="18"/>
                <w:szCs w:val="18"/>
              </w:rPr>
              <w:t>0</w:t>
            </w:r>
            <w:r w:rsidRPr="00081066">
              <w:rPr>
                <w:rFonts w:ascii="Trebuchet MS" w:hAnsi="Trebuchet MS" w:cs="Calibri"/>
                <w:color w:val="FF0000"/>
                <w:sz w:val="18"/>
                <w:szCs w:val="18"/>
              </w:rPr>
              <w:t>00 excl. BTW per jaar.</w:t>
            </w:r>
          </w:p>
        </w:tc>
        <w:tc>
          <w:tcPr>
            <w:tcW w:w="992" w:type="dxa"/>
            <w:shd w:val="clear" w:color="auto" w:fill="auto"/>
            <w:vAlign w:val="center"/>
          </w:tcPr>
          <w:p w14:paraId="0241E766"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3556F17F"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637B6CE1"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057AF37D" w14:textId="77777777" w:rsidTr="00607025">
        <w:tc>
          <w:tcPr>
            <w:tcW w:w="7187" w:type="dxa"/>
            <w:gridSpan w:val="2"/>
            <w:shd w:val="clear" w:color="auto" w:fill="auto"/>
          </w:tcPr>
          <w:p w14:paraId="34F22486"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 xml:space="preserve">2. Opdrachtgever hecht waarde aan maatschappelijk verantwoord ondernemen en het stimuleren van het creëren van kansen voor kwetsbare groepen op de arbeidsmarkt. Door zich in te schrijven op deze aanbesteding, verplicht de Inschrijver zich om bij gunning, minimaal </w:t>
            </w:r>
            <w:r w:rsidRPr="00132447">
              <w:rPr>
                <w:rFonts w:ascii="Trebuchet MS" w:eastAsia="Times New Roman" w:hAnsi="Trebuchet MS" w:cs="Calibri"/>
                <w:b/>
                <w:sz w:val="18"/>
                <w:szCs w:val="18"/>
                <w:lang w:eastAsia="nl-NL"/>
              </w:rPr>
              <w:t>1%</w:t>
            </w:r>
            <w:r w:rsidRPr="00132447">
              <w:rPr>
                <w:rFonts w:ascii="Trebuchet MS" w:eastAsia="Times New Roman" w:hAnsi="Trebuchet MS" w:cs="Calibri"/>
                <w:bCs/>
                <w:sz w:val="18"/>
                <w:szCs w:val="18"/>
                <w:lang w:eastAsia="nl-NL"/>
              </w:rPr>
              <w:t xml:space="preserve"> van de jaaromzet van de Opdracht (excl. BTW) aan te wenden voor </w:t>
            </w:r>
            <w:proofErr w:type="spellStart"/>
            <w:r w:rsidRPr="00132447">
              <w:rPr>
                <w:rFonts w:ascii="Trebuchet MS" w:eastAsia="Times New Roman" w:hAnsi="Trebuchet MS" w:cs="Calibri"/>
                <w:bCs/>
                <w:sz w:val="18"/>
                <w:szCs w:val="18"/>
                <w:lang w:eastAsia="nl-NL"/>
              </w:rPr>
              <w:t>Social</w:t>
            </w:r>
            <w:proofErr w:type="spellEnd"/>
            <w:r w:rsidRPr="00132447">
              <w:rPr>
                <w:rFonts w:ascii="Trebuchet MS" w:eastAsia="Times New Roman" w:hAnsi="Trebuchet MS" w:cs="Calibri"/>
                <w:bCs/>
                <w:sz w:val="18"/>
                <w:szCs w:val="18"/>
                <w:lang w:eastAsia="nl-NL"/>
              </w:rPr>
              <w:t xml:space="preserve"> Return.</w:t>
            </w:r>
          </w:p>
          <w:p w14:paraId="486FED3D"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highlight w:val="cyan"/>
                <w:lang w:eastAsia="nl-NL"/>
              </w:rPr>
            </w:pPr>
            <w:r w:rsidRPr="00132447">
              <w:rPr>
                <w:rFonts w:ascii="Trebuchet MS" w:eastAsia="Times New Roman" w:hAnsi="Trebuchet MS" w:cs="Calibri"/>
                <w:bCs/>
                <w:sz w:val="18"/>
                <w:szCs w:val="18"/>
                <w:lang w:eastAsia="nl-NL"/>
              </w:rPr>
              <w:t xml:space="preserve">De concrete invulling (hoeveel, welk soort mensen, waar inzetten) wordt na gunning tussen Opdrachtnemer en Opdrachtgever (ondersteund door het Coördinatiepunt </w:t>
            </w:r>
            <w:proofErr w:type="spellStart"/>
            <w:r w:rsidRPr="00132447">
              <w:rPr>
                <w:rFonts w:ascii="Trebuchet MS" w:eastAsia="Times New Roman" w:hAnsi="Trebuchet MS" w:cs="Calibri"/>
                <w:bCs/>
                <w:sz w:val="18"/>
                <w:szCs w:val="18"/>
                <w:lang w:eastAsia="nl-NL"/>
              </w:rPr>
              <w:t>Social</w:t>
            </w:r>
            <w:proofErr w:type="spellEnd"/>
            <w:r w:rsidRPr="00132447">
              <w:rPr>
                <w:rFonts w:ascii="Trebuchet MS" w:eastAsia="Times New Roman" w:hAnsi="Trebuchet MS" w:cs="Calibri"/>
                <w:bCs/>
                <w:sz w:val="18"/>
                <w:szCs w:val="18"/>
                <w:lang w:eastAsia="nl-NL"/>
              </w:rPr>
              <w:t xml:space="preserve"> Return Groningen) nader overeengekomen. Alle mondelinge en schriftelijke communicatie m.b.t. SROI loopt via het Coördinatiepunt </w:t>
            </w:r>
            <w:proofErr w:type="spellStart"/>
            <w:r w:rsidRPr="00132447">
              <w:rPr>
                <w:rFonts w:ascii="Trebuchet MS" w:eastAsia="Times New Roman" w:hAnsi="Trebuchet MS" w:cs="Calibri"/>
                <w:bCs/>
                <w:sz w:val="18"/>
                <w:szCs w:val="18"/>
                <w:lang w:eastAsia="nl-NL"/>
              </w:rPr>
              <w:t>Social</w:t>
            </w:r>
            <w:proofErr w:type="spellEnd"/>
            <w:r w:rsidRPr="00132447">
              <w:rPr>
                <w:rFonts w:ascii="Trebuchet MS" w:eastAsia="Times New Roman" w:hAnsi="Trebuchet MS" w:cs="Calibri"/>
                <w:bCs/>
                <w:sz w:val="18"/>
                <w:szCs w:val="18"/>
                <w:lang w:eastAsia="nl-NL"/>
              </w:rPr>
              <w:t xml:space="preserve"> Return Groningen.</w:t>
            </w:r>
          </w:p>
        </w:tc>
        <w:tc>
          <w:tcPr>
            <w:tcW w:w="992" w:type="dxa"/>
            <w:shd w:val="clear" w:color="auto" w:fill="auto"/>
            <w:vAlign w:val="center"/>
          </w:tcPr>
          <w:p w14:paraId="08ED1EB8"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0BC03F5B"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694B369C"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7BB310D3" w14:textId="77777777" w:rsidTr="00607025">
        <w:tc>
          <w:tcPr>
            <w:tcW w:w="7187" w:type="dxa"/>
            <w:gridSpan w:val="2"/>
            <w:shd w:val="clear" w:color="auto" w:fill="auto"/>
          </w:tcPr>
          <w:p w14:paraId="58DBBCB4"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 xml:space="preserve">3. Opdrachtgever hecht waarde aan maatschappelijk verantwoord ondernemen en het stimuleren van het creëren van kansen voor kwetsbare groepen op de arbeidsmarkt. Door zich in te schrijven op deze aanbesteding, verplicht de Inschrijver zich om bij gunning, minimaal </w:t>
            </w:r>
            <w:r w:rsidRPr="00132447">
              <w:rPr>
                <w:rFonts w:ascii="Trebuchet MS" w:eastAsia="Times New Roman" w:hAnsi="Trebuchet MS" w:cs="Calibri"/>
                <w:b/>
                <w:sz w:val="18"/>
                <w:szCs w:val="18"/>
                <w:lang w:eastAsia="nl-NL"/>
              </w:rPr>
              <w:t>2%</w:t>
            </w:r>
            <w:r w:rsidRPr="00132447">
              <w:rPr>
                <w:rFonts w:ascii="Trebuchet MS" w:eastAsia="Times New Roman" w:hAnsi="Trebuchet MS" w:cs="Calibri"/>
                <w:bCs/>
                <w:sz w:val="18"/>
                <w:szCs w:val="18"/>
                <w:lang w:eastAsia="nl-NL"/>
              </w:rPr>
              <w:t xml:space="preserve"> van de jaaromzet van de Opdracht (excl. BTW) aan te wenden voor </w:t>
            </w:r>
            <w:proofErr w:type="spellStart"/>
            <w:r w:rsidRPr="00132447">
              <w:rPr>
                <w:rFonts w:ascii="Trebuchet MS" w:eastAsia="Times New Roman" w:hAnsi="Trebuchet MS" w:cs="Calibri"/>
                <w:bCs/>
                <w:sz w:val="18"/>
                <w:szCs w:val="18"/>
                <w:lang w:eastAsia="nl-NL"/>
              </w:rPr>
              <w:t>Social</w:t>
            </w:r>
            <w:proofErr w:type="spellEnd"/>
            <w:r w:rsidRPr="00132447">
              <w:rPr>
                <w:rFonts w:ascii="Trebuchet MS" w:eastAsia="Times New Roman" w:hAnsi="Trebuchet MS" w:cs="Calibri"/>
                <w:bCs/>
                <w:sz w:val="18"/>
                <w:szCs w:val="18"/>
                <w:lang w:eastAsia="nl-NL"/>
              </w:rPr>
              <w:t xml:space="preserve"> Return.</w:t>
            </w:r>
          </w:p>
          <w:p w14:paraId="00E32B5F"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highlight w:val="cyan"/>
                <w:lang w:eastAsia="nl-NL"/>
              </w:rPr>
            </w:pPr>
            <w:r w:rsidRPr="00132447">
              <w:rPr>
                <w:rFonts w:ascii="Trebuchet MS" w:eastAsia="Times New Roman" w:hAnsi="Trebuchet MS" w:cs="Calibri"/>
                <w:bCs/>
                <w:sz w:val="18"/>
                <w:szCs w:val="18"/>
                <w:lang w:eastAsia="nl-NL"/>
              </w:rPr>
              <w:t xml:space="preserve">De concrete invulling (hoeveel, welk soort mensen, waar inzetten) wordt na gunning tussen Opdrachtnemer en Opdrachtgever (ondersteund door het Coördinatiepunt </w:t>
            </w:r>
            <w:proofErr w:type="spellStart"/>
            <w:r w:rsidRPr="00132447">
              <w:rPr>
                <w:rFonts w:ascii="Trebuchet MS" w:eastAsia="Times New Roman" w:hAnsi="Trebuchet MS" w:cs="Calibri"/>
                <w:bCs/>
                <w:sz w:val="18"/>
                <w:szCs w:val="18"/>
                <w:lang w:eastAsia="nl-NL"/>
              </w:rPr>
              <w:t>Social</w:t>
            </w:r>
            <w:proofErr w:type="spellEnd"/>
            <w:r w:rsidRPr="00132447">
              <w:rPr>
                <w:rFonts w:ascii="Trebuchet MS" w:eastAsia="Times New Roman" w:hAnsi="Trebuchet MS" w:cs="Calibri"/>
                <w:bCs/>
                <w:sz w:val="18"/>
                <w:szCs w:val="18"/>
                <w:lang w:eastAsia="nl-NL"/>
              </w:rPr>
              <w:t xml:space="preserve"> Return Groningen) nader overeengekomen. Alle mondelinge en schriftelijke communicatie m.b.t. SROI loopt via het Coördinatiepunt </w:t>
            </w:r>
            <w:proofErr w:type="spellStart"/>
            <w:r w:rsidRPr="00132447">
              <w:rPr>
                <w:rFonts w:ascii="Trebuchet MS" w:eastAsia="Times New Roman" w:hAnsi="Trebuchet MS" w:cs="Calibri"/>
                <w:bCs/>
                <w:sz w:val="18"/>
                <w:szCs w:val="18"/>
                <w:lang w:eastAsia="nl-NL"/>
              </w:rPr>
              <w:t>Social</w:t>
            </w:r>
            <w:proofErr w:type="spellEnd"/>
            <w:r w:rsidRPr="00132447">
              <w:rPr>
                <w:rFonts w:ascii="Trebuchet MS" w:eastAsia="Times New Roman" w:hAnsi="Trebuchet MS" w:cs="Calibri"/>
                <w:bCs/>
                <w:sz w:val="18"/>
                <w:szCs w:val="18"/>
                <w:lang w:eastAsia="nl-NL"/>
              </w:rPr>
              <w:t xml:space="preserve"> Return Groningen.</w:t>
            </w:r>
          </w:p>
        </w:tc>
        <w:tc>
          <w:tcPr>
            <w:tcW w:w="992" w:type="dxa"/>
            <w:shd w:val="clear" w:color="auto" w:fill="auto"/>
            <w:vAlign w:val="center"/>
          </w:tcPr>
          <w:p w14:paraId="26039728"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72CAA37C"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62EEBC1A"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5666FDCE" w14:textId="77777777" w:rsidTr="00607025">
        <w:tc>
          <w:tcPr>
            <w:tcW w:w="7187" w:type="dxa"/>
            <w:gridSpan w:val="2"/>
            <w:shd w:val="clear" w:color="auto" w:fill="auto"/>
          </w:tcPr>
          <w:p w14:paraId="1F9977A0"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4. Als eis hebben we gesteld dat Opdrachtnemer leverancier is van, en in staat is om gedurende de gehele contractperiode, A-merken te leveren aan Openbaar Onderwijs Groningen.</w:t>
            </w:r>
          </w:p>
          <w:p w14:paraId="5D8EEA19" w14:textId="77777777" w:rsidR="00132447" w:rsidRPr="00132447" w:rsidRDefault="00132447" w:rsidP="00132447">
            <w:pPr>
              <w:tabs>
                <w:tab w:val="left" w:pos="851"/>
              </w:tabs>
              <w:spacing w:after="0" w:line="312" w:lineRule="auto"/>
              <w:jc w:val="both"/>
              <w:rPr>
                <w:rFonts w:ascii="Trebuchet MS" w:eastAsia="Times New Roman" w:hAnsi="Trebuchet MS" w:cs="Tahoma"/>
                <w:bCs/>
                <w:sz w:val="18"/>
                <w:szCs w:val="18"/>
                <w:lang w:eastAsia="nl-NL"/>
              </w:rPr>
            </w:pPr>
            <w:r w:rsidRPr="00132447">
              <w:rPr>
                <w:rFonts w:ascii="Trebuchet MS" w:eastAsia="Times New Roman" w:hAnsi="Trebuchet MS" w:cs="Calibri"/>
                <w:bCs/>
                <w:sz w:val="18"/>
                <w:szCs w:val="18"/>
                <w:lang w:eastAsia="nl-NL"/>
              </w:rPr>
              <w:t xml:space="preserve">Opdrachtnemer is aanvullend leverancier van </w:t>
            </w:r>
            <w:proofErr w:type="spellStart"/>
            <w:r w:rsidRPr="00132447">
              <w:rPr>
                <w:rFonts w:ascii="Trebuchet MS" w:eastAsia="Times New Roman" w:hAnsi="Trebuchet MS" w:cs="Calibri"/>
                <w:bCs/>
                <w:sz w:val="18"/>
                <w:szCs w:val="18"/>
                <w:lang w:eastAsia="nl-NL"/>
              </w:rPr>
              <w:t>Hewlett</w:t>
            </w:r>
            <w:proofErr w:type="spellEnd"/>
            <w:r w:rsidRPr="00132447">
              <w:rPr>
                <w:rFonts w:ascii="Trebuchet MS" w:eastAsia="Times New Roman" w:hAnsi="Trebuchet MS" w:cs="Calibri"/>
                <w:bCs/>
                <w:sz w:val="18"/>
                <w:szCs w:val="18"/>
                <w:lang w:eastAsia="nl-NL"/>
              </w:rPr>
              <w:t xml:space="preserve"> </w:t>
            </w:r>
            <w:proofErr w:type="spellStart"/>
            <w:r w:rsidRPr="00132447">
              <w:rPr>
                <w:rFonts w:ascii="Trebuchet MS" w:eastAsia="Times New Roman" w:hAnsi="Trebuchet MS" w:cs="Calibri"/>
                <w:bCs/>
                <w:sz w:val="18"/>
                <w:szCs w:val="18"/>
                <w:lang w:eastAsia="nl-NL"/>
              </w:rPr>
              <w:t>Packard</w:t>
            </w:r>
            <w:proofErr w:type="spellEnd"/>
            <w:r w:rsidRPr="00132447">
              <w:rPr>
                <w:rFonts w:ascii="Trebuchet MS" w:eastAsia="Times New Roman" w:hAnsi="Trebuchet MS" w:cs="Calibri"/>
                <w:bCs/>
                <w:sz w:val="18"/>
                <w:szCs w:val="18"/>
                <w:lang w:eastAsia="nl-NL"/>
              </w:rPr>
              <w:t>.</w:t>
            </w:r>
          </w:p>
        </w:tc>
        <w:tc>
          <w:tcPr>
            <w:tcW w:w="992" w:type="dxa"/>
            <w:shd w:val="clear" w:color="auto" w:fill="auto"/>
            <w:vAlign w:val="center"/>
          </w:tcPr>
          <w:p w14:paraId="4EB7AB08"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77292599"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00945AAB"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1A9E8B95" w14:textId="77777777" w:rsidTr="00607025">
        <w:tc>
          <w:tcPr>
            <w:tcW w:w="7187" w:type="dxa"/>
            <w:gridSpan w:val="2"/>
            <w:shd w:val="clear" w:color="auto" w:fill="auto"/>
          </w:tcPr>
          <w:p w14:paraId="48239DB4"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lastRenderedPageBreak/>
              <w:t>5. Als eis hebben we gesteld dat Opdrachtnemer leverancier is van, en in staat is om gedurende de gehele contractperiode, A-merken te leveren aan Openbaar Onderwijs Groningen.</w:t>
            </w:r>
          </w:p>
          <w:p w14:paraId="1965EDD7"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Opdrachtnemer is aanvullend leverancier van Dell.</w:t>
            </w:r>
          </w:p>
        </w:tc>
        <w:tc>
          <w:tcPr>
            <w:tcW w:w="992" w:type="dxa"/>
            <w:shd w:val="clear" w:color="auto" w:fill="auto"/>
            <w:vAlign w:val="center"/>
          </w:tcPr>
          <w:p w14:paraId="766216B6"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2C0E3A81"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38E74067"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63A1548D" w14:textId="77777777" w:rsidTr="00607025">
        <w:tc>
          <w:tcPr>
            <w:tcW w:w="7187" w:type="dxa"/>
            <w:gridSpan w:val="2"/>
            <w:shd w:val="clear" w:color="auto" w:fill="auto"/>
          </w:tcPr>
          <w:p w14:paraId="4F5D96A4"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6. Als eis hebben we gesteld dat Opdrachtnemer leverancier is van, en in staat is om gedurende de gehele contractperiode, A-merken te leveren aan Openbaar Onderwijs Groningen.</w:t>
            </w:r>
          </w:p>
          <w:p w14:paraId="5468DE4E"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 xml:space="preserve">Opdrachtnemer is aanvullend leverancier van Apple en is Apple </w:t>
            </w:r>
            <w:proofErr w:type="spellStart"/>
            <w:r w:rsidRPr="00132447">
              <w:rPr>
                <w:rFonts w:ascii="Trebuchet MS" w:eastAsia="Times New Roman" w:hAnsi="Trebuchet MS" w:cs="Calibri"/>
                <w:bCs/>
                <w:sz w:val="18"/>
                <w:szCs w:val="18"/>
                <w:lang w:eastAsia="nl-NL"/>
              </w:rPr>
              <w:t>Authorised</w:t>
            </w:r>
            <w:proofErr w:type="spellEnd"/>
            <w:r w:rsidRPr="00132447">
              <w:rPr>
                <w:rFonts w:ascii="Trebuchet MS" w:eastAsia="Times New Roman" w:hAnsi="Trebuchet MS" w:cs="Calibri"/>
                <w:bCs/>
                <w:sz w:val="18"/>
                <w:szCs w:val="18"/>
                <w:lang w:eastAsia="nl-NL"/>
              </w:rPr>
              <w:t xml:space="preserve"> Service Provider.</w:t>
            </w:r>
          </w:p>
        </w:tc>
        <w:tc>
          <w:tcPr>
            <w:tcW w:w="992" w:type="dxa"/>
            <w:shd w:val="clear" w:color="auto" w:fill="auto"/>
            <w:vAlign w:val="center"/>
          </w:tcPr>
          <w:p w14:paraId="5625302D"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6BB60004"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402B9935"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06A552CF" w14:textId="77777777" w:rsidTr="00607025">
        <w:tc>
          <w:tcPr>
            <w:tcW w:w="7187" w:type="dxa"/>
            <w:gridSpan w:val="2"/>
            <w:shd w:val="clear" w:color="auto" w:fill="auto"/>
          </w:tcPr>
          <w:p w14:paraId="3F359E4F"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7. Als eis hebben we gesteld dat Opdrachtnemer leverancier is van, en in staat is om gedurende de gehele contractperiode, A-merken te leveren aan Openbaar Onderwijs Groningen.</w:t>
            </w:r>
          </w:p>
          <w:p w14:paraId="0707048F"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Opdrachtnemer is aanvullend leverancier van Microsoft.</w:t>
            </w:r>
          </w:p>
        </w:tc>
        <w:tc>
          <w:tcPr>
            <w:tcW w:w="992" w:type="dxa"/>
            <w:shd w:val="clear" w:color="auto" w:fill="auto"/>
            <w:vAlign w:val="center"/>
          </w:tcPr>
          <w:p w14:paraId="33469CD8"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36FBDB78"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771F4BA1"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092358E0" w14:textId="77777777" w:rsidTr="00607025">
        <w:tc>
          <w:tcPr>
            <w:tcW w:w="7187" w:type="dxa"/>
            <w:gridSpan w:val="2"/>
            <w:shd w:val="clear" w:color="auto" w:fill="auto"/>
          </w:tcPr>
          <w:p w14:paraId="0F66714B" w14:textId="77777777" w:rsidR="00132447" w:rsidRDefault="00132447" w:rsidP="00132447">
            <w:pPr>
              <w:tabs>
                <w:tab w:val="left" w:pos="567"/>
              </w:tabs>
              <w:spacing w:before="90" w:afterLines="54" w:after="129" w:line="312" w:lineRule="auto"/>
              <w:ind w:right="57"/>
              <w:rPr>
                <w:rFonts w:ascii="Trebuchet MS" w:eastAsia="Times New Roman" w:hAnsi="Trebuchet MS" w:cs="Arial"/>
                <w:bCs/>
                <w:color w:val="000000"/>
                <w:sz w:val="18"/>
                <w:szCs w:val="18"/>
                <w:lang w:eastAsia="nl-NL"/>
              </w:rPr>
            </w:pPr>
            <w:r w:rsidRPr="00132447">
              <w:rPr>
                <w:rFonts w:ascii="Trebuchet MS" w:eastAsia="Times New Roman" w:hAnsi="Trebuchet MS" w:cs="Calibri"/>
                <w:bCs/>
                <w:sz w:val="18"/>
                <w:szCs w:val="18"/>
                <w:lang w:eastAsia="nl-NL"/>
              </w:rPr>
              <w:t xml:space="preserve">8. Als eis hebben we gesteld dat </w:t>
            </w:r>
            <w:r w:rsidRPr="00132447">
              <w:rPr>
                <w:rFonts w:ascii="Trebuchet MS" w:eastAsia="Times New Roman" w:hAnsi="Trebuchet MS" w:cs="Arial"/>
                <w:bCs/>
                <w:color w:val="000000"/>
                <w:sz w:val="18"/>
                <w:szCs w:val="18"/>
                <w:lang w:eastAsia="nl-NL"/>
              </w:rPr>
              <w:t>Opdrachtnemer een Oplostijd garandeert van maximaal 40 kantooruren (5 werkdagen).</w:t>
            </w:r>
          </w:p>
          <w:p w14:paraId="059BBEDD" w14:textId="6BFAFA5E" w:rsidR="001139C8" w:rsidRPr="001139C8" w:rsidRDefault="001139C8" w:rsidP="00132447">
            <w:pPr>
              <w:tabs>
                <w:tab w:val="left" w:pos="567"/>
              </w:tabs>
              <w:spacing w:before="90" w:afterLines="54" w:after="129" w:line="312" w:lineRule="auto"/>
              <w:ind w:right="57"/>
              <w:rPr>
                <w:rFonts w:ascii="Trebuchet MS" w:eastAsia="Times New Roman" w:hAnsi="Trebuchet MS" w:cs="Arial"/>
                <w:bCs/>
                <w:color w:val="FF0000"/>
                <w:sz w:val="18"/>
                <w:szCs w:val="18"/>
                <w:lang w:eastAsia="nl-NL"/>
              </w:rPr>
            </w:pPr>
            <w:r w:rsidRPr="001139C8">
              <w:rPr>
                <w:rFonts w:ascii="Trebuchet MS" w:eastAsia="Times New Roman" w:hAnsi="Trebuchet MS" w:cs="Arial"/>
                <w:bCs/>
                <w:color w:val="FF0000"/>
                <w:sz w:val="18"/>
                <w:szCs w:val="18"/>
                <w:lang w:eastAsia="nl-NL"/>
              </w:rPr>
              <w:t>Voor wat betreft Apple apparatuur hebben we gesteld dat Opdrachtnemer een Oplostijd garandeert van maximaal 10 werkdagen.</w:t>
            </w:r>
          </w:p>
          <w:p w14:paraId="68151685"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highlight w:val="cyan"/>
                <w:lang w:eastAsia="nl-NL"/>
              </w:rPr>
            </w:pPr>
            <w:r w:rsidRPr="00132447">
              <w:rPr>
                <w:rFonts w:ascii="Trebuchet MS" w:eastAsia="Times New Roman" w:hAnsi="Trebuchet MS" w:cs="Calibri"/>
                <w:bCs/>
                <w:sz w:val="18"/>
                <w:szCs w:val="18"/>
                <w:lang w:eastAsia="nl-NL"/>
              </w:rPr>
              <w:t xml:space="preserve">Opdrachtnemer kan een kortere oplostijd garanderen van maximaal </w:t>
            </w:r>
            <w:r w:rsidRPr="00132447">
              <w:rPr>
                <w:rFonts w:ascii="Trebuchet MS" w:eastAsia="Times New Roman" w:hAnsi="Trebuchet MS" w:cs="Calibri"/>
                <w:b/>
                <w:sz w:val="18"/>
                <w:szCs w:val="18"/>
                <w:lang w:eastAsia="nl-NL"/>
              </w:rPr>
              <w:t>32 uur (4 werkdagen)</w:t>
            </w:r>
            <w:r w:rsidRPr="00132447">
              <w:rPr>
                <w:rFonts w:ascii="Trebuchet MS" w:eastAsia="Times New Roman" w:hAnsi="Trebuchet MS" w:cs="Calibri"/>
                <w:bCs/>
                <w:sz w:val="18"/>
                <w:szCs w:val="18"/>
                <w:lang w:eastAsia="nl-NL"/>
              </w:rPr>
              <w:t>.</w:t>
            </w:r>
          </w:p>
        </w:tc>
        <w:tc>
          <w:tcPr>
            <w:tcW w:w="992" w:type="dxa"/>
            <w:shd w:val="clear" w:color="auto" w:fill="auto"/>
            <w:vAlign w:val="center"/>
          </w:tcPr>
          <w:p w14:paraId="0C0DE913"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0CB341F1"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53F56B54"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0E520BC0" w14:textId="77777777" w:rsidTr="00607025">
        <w:tc>
          <w:tcPr>
            <w:tcW w:w="7187" w:type="dxa"/>
            <w:gridSpan w:val="2"/>
            <w:shd w:val="clear" w:color="auto" w:fill="auto"/>
          </w:tcPr>
          <w:p w14:paraId="2C15374F" w14:textId="77777777" w:rsidR="00132447" w:rsidRDefault="00132447" w:rsidP="00132447">
            <w:pPr>
              <w:tabs>
                <w:tab w:val="left" w:pos="567"/>
              </w:tabs>
              <w:spacing w:before="90" w:afterLines="54" w:after="129" w:line="312" w:lineRule="auto"/>
              <w:ind w:right="57"/>
              <w:rPr>
                <w:rFonts w:ascii="Trebuchet MS" w:eastAsia="Times New Roman" w:hAnsi="Trebuchet MS" w:cs="Arial"/>
                <w:bCs/>
                <w:color w:val="000000"/>
                <w:sz w:val="18"/>
                <w:szCs w:val="18"/>
                <w:lang w:eastAsia="nl-NL"/>
              </w:rPr>
            </w:pPr>
            <w:r w:rsidRPr="00132447">
              <w:rPr>
                <w:rFonts w:ascii="Trebuchet MS" w:eastAsia="Times New Roman" w:hAnsi="Trebuchet MS" w:cs="Calibri"/>
                <w:bCs/>
                <w:sz w:val="18"/>
                <w:szCs w:val="18"/>
                <w:lang w:eastAsia="nl-NL"/>
              </w:rPr>
              <w:t xml:space="preserve">9. Als eis hebben we gesteld dat </w:t>
            </w:r>
            <w:r w:rsidRPr="00132447">
              <w:rPr>
                <w:rFonts w:ascii="Trebuchet MS" w:eastAsia="Times New Roman" w:hAnsi="Trebuchet MS" w:cs="Arial"/>
                <w:bCs/>
                <w:color w:val="000000"/>
                <w:sz w:val="18"/>
                <w:szCs w:val="18"/>
                <w:lang w:eastAsia="nl-NL"/>
              </w:rPr>
              <w:t>Opdrachtnemer een Oplostijd garandeert van maximaal 40 kantooruren (5 werkdagen).</w:t>
            </w:r>
          </w:p>
          <w:p w14:paraId="20192AE6" w14:textId="560EB7F3" w:rsidR="001139C8" w:rsidRPr="001139C8" w:rsidRDefault="001139C8" w:rsidP="00132447">
            <w:pPr>
              <w:tabs>
                <w:tab w:val="left" w:pos="567"/>
              </w:tabs>
              <w:spacing w:before="90" w:afterLines="54" w:after="129" w:line="312" w:lineRule="auto"/>
              <w:ind w:right="57"/>
              <w:rPr>
                <w:rFonts w:ascii="Trebuchet MS" w:eastAsia="Times New Roman" w:hAnsi="Trebuchet MS" w:cs="Calibri"/>
                <w:bCs/>
                <w:color w:val="FF0000"/>
                <w:sz w:val="18"/>
                <w:szCs w:val="18"/>
                <w:lang w:eastAsia="nl-NL"/>
              </w:rPr>
            </w:pPr>
            <w:r w:rsidRPr="001139C8">
              <w:rPr>
                <w:rFonts w:ascii="Trebuchet MS" w:eastAsia="Times New Roman" w:hAnsi="Trebuchet MS" w:cs="Calibri"/>
                <w:bCs/>
                <w:color w:val="FF0000"/>
                <w:sz w:val="18"/>
                <w:szCs w:val="18"/>
                <w:lang w:eastAsia="nl-NL"/>
              </w:rPr>
              <w:t>Voor wat betreft Apple apparatuur hebben we gesteld dat Opdrachtnemer een Oplostijd garandeert van maximaal 10 werkdagen.</w:t>
            </w:r>
          </w:p>
          <w:p w14:paraId="44F79270" w14:textId="77777777" w:rsidR="00132447" w:rsidRPr="00132447" w:rsidRDefault="00132447" w:rsidP="00132447">
            <w:pPr>
              <w:tabs>
                <w:tab w:val="left" w:pos="567"/>
              </w:tabs>
              <w:spacing w:before="90" w:afterLines="54" w:after="129" w:line="312" w:lineRule="auto"/>
              <w:ind w:right="57"/>
              <w:rPr>
                <w:rFonts w:ascii="Trebuchet MS" w:eastAsia="Times New Roman" w:hAnsi="Trebuchet MS" w:cs="Calibri"/>
                <w:bCs/>
                <w:strike/>
                <w:sz w:val="18"/>
                <w:szCs w:val="18"/>
                <w:lang w:eastAsia="nl-NL"/>
              </w:rPr>
            </w:pPr>
            <w:r w:rsidRPr="00132447">
              <w:rPr>
                <w:rFonts w:ascii="Trebuchet MS" w:eastAsia="Times New Roman" w:hAnsi="Trebuchet MS" w:cs="Calibri"/>
                <w:bCs/>
                <w:sz w:val="18"/>
                <w:szCs w:val="18"/>
                <w:lang w:eastAsia="nl-NL"/>
              </w:rPr>
              <w:t xml:space="preserve">Opdrachtnemer kan een kortere oplostijd garanderen van maximaal </w:t>
            </w:r>
            <w:r w:rsidRPr="00132447">
              <w:rPr>
                <w:rFonts w:ascii="Trebuchet MS" w:eastAsia="Times New Roman" w:hAnsi="Trebuchet MS" w:cs="Calibri"/>
                <w:b/>
                <w:sz w:val="18"/>
                <w:szCs w:val="18"/>
                <w:lang w:eastAsia="nl-NL"/>
              </w:rPr>
              <w:t>24 uur (3 werkdagen).</w:t>
            </w:r>
          </w:p>
        </w:tc>
        <w:tc>
          <w:tcPr>
            <w:tcW w:w="992" w:type="dxa"/>
            <w:shd w:val="clear" w:color="auto" w:fill="auto"/>
            <w:vAlign w:val="center"/>
          </w:tcPr>
          <w:p w14:paraId="68B9AA20"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35C08CDB"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36E8715F"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19414795" w14:textId="77777777" w:rsidTr="00607025">
        <w:tc>
          <w:tcPr>
            <w:tcW w:w="7187" w:type="dxa"/>
            <w:gridSpan w:val="2"/>
            <w:shd w:val="clear" w:color="auto" w:fill="auto"/>
          </w:tcPr>
          <w:p w14:paraId="7C998E1A" w14:textId="77777777" w:rsidR="00132447" w:rsidRPr="00132447" w:rsidRDefault="00132447" w:rsidP="00132447">
            <w:pPr>
              <w:tabs>
                <w:tab w:val="left" w:pos="567"/>
              </w:tabs>
              <w:spacing w:before="90" w:afterLines="54" w:after="129" w:line="312" w:lineRule="auto"/>
              <w:ind w:right="57"/>
              <w:rPr>
                <w:rFonts w:ascii="Trebuchet MS" w:eastAsia="Times New Roman" w:hAnsi="Trebuchet MS" w:cs="Calibri"/>
                <w:bCs/>
                <w:strike/>
                <w:sz w:val="18"/>
                <w:szCs w:val="18"/>
                <w:lang w:eastAsia="nl-NL"/>
              </w:rPr>
            </w:pPr>
            <w:r w:rsidRPr="00132447">
              <w:rPr>
                <w:rFonts w:ascii="Trebuchet MS" w:eastAsia="Times New Roman" w:hAnsi="Trebuchet MS" w:cs="Calibri"/>
                <w:bCs/>
                <w:sz w:val="18"/>
                <w:szCs w:val="18"/>
                <w:lang w:eastAsia="nl-NL"/>
              </w:rPr>
              <w:t>10. Opdrachtnemer is bereid om, zonder kosten, een ijzeren voorraad aan te houden van 50 laptops voor opdrachtgever. Opdrachtgever bestelt uit deze voorraad, Opdrachtnemer vult continue aan tot aantal 50. Bij end of life van laptop neemt Opdrachtgever restant aantal, tot een maximum van 50 stuks, af.</w:t>
            </w:r>
          </w:p>
        </w:tc>
        <w:tc>
          <w:tcPr>
            <w:tcW w:w="992" w:type="dxa"/>
            <w:shd w:val="clear" w:color="auto" w:fill="auto"/>
            <w:vAlign w:val="center"/>
          </w:tcPr>
          <w:p w14:paraId="29ED74FB"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15AD8CA4"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3DF91FAF"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4F89778D" w14:textId="77777777" w:rsidTr="00607025">
        <w:tc>
          <w:tcPr>
            <w:tcW w:w="7187" w:type="dxa"/>
            <w:gridSpan w:val="2"/>
            <w:shd w:val="clear" w:color="auto" w:fill="auto"/>
          </w:tcPr>
          <w:p w14:paraId="7863CBC8" w14:textId="77777777" w:rsidR="00132447" w:rsidRPr="00132447" w:rsidRDefault="00132447" w:rsidP="00132447">
            <w:pPr>
              <w:tabs>
                <w:tab w:val="left" w:pos="567"/>
              </w:tabs>
              <w:spacing w:before="90" w:afterLines="54" w:after="129" w:line="312" w:lineRule="auto"/>
              <w:ind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11. Opdrachtnemer is bereid om, zonder kosten, gekochte hardware in magazijn Opdrachtnemer op te slaan en, in gedeelten of geheel, te leveren op moment dat Opdrachtgever hier behoefte aan heeft.</w:t>
            </w:r>
          </w:p>
        </w:tc>
        <w:tc>
          <w:tcPr>
            <w:tcW w:w="992" w:type="dxa"/>
            <w:shd w:val="clear" w:color="auto" w:fill="auto"/>
            <w:vAlign w:val="center"/>
          </w:tcPr>
          <w:p w14:paraId="278DC1C0"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044EB39A"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5A4CCE0C"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4BBF3005" w14:textId="77777777" w:rsidTr="00607025">
        <w:tc>
          <w:tcPr>
            <w:tcW w:w="7187" w:type="dxa"/>
            <w:gridSpan w:val="2"/>
            <w:shd w:val="clear" w:color="auto" w:fill="auto"/>
          </w:tcPr>
          <w:p w14:paraId="67BC4A37" w14:textId="77777777" w:rsidR="00132447" w:rsidRPr="00132447" w:rsidRDefault="00132447" w:rsidP="00132447">
            <w:pPr>
              <w:tabs>
                <w:tab w:val="left" w:pos="567"/>
              </w:tabs>
              <w:spacing w:before="90" w:afterLines="54" w:after="129" w:line="312" w:lineRule="auto"/>
              <w:ind w:right="57"/>
              <w:rPr>
                <w:rFonts w:ascii="Trebuchet MS" w:eastAsia="Times New Roman" w:hAnsi="Trebuchet MS" w:cs="Calibri"/>
                <w:bCs/>
                <w:strike/>
                <w:sz w:val="18"/>
                <w:szCs w:val="18"/>
                <w:highlight w:val="cyan"/>
                <w:lang w:eastAsia="nl-NL"/>
              </w:rPr>
            </w:pPr>
            <w:r w:rsidRPr="00132447">
              <w:rPr>
                <w:rFonts w:ascii="Trebuchet MS" w:eastAsia="Times New Roman" w:hAnsi="Trebuchet MS" w:cs="Calibri"/>
                <w:bCs/>
                <w:sz w:val="18"/>
                <w:szCs w:val="18"/>
                <w:lang w:eastAsia="nl-NL"/>
              </w:rPr>
              <w:t>12. Opdrachtnemer neemt de garantie c.q. overige rechten en plichten met betrekking tot reeds geleverde hardware over bij ingang van de Overeenkomst.</w:t>
            </w:r>
          </w:p>
        </w:tc>
        <w:tc>
          <w:tcPr>
            <w:tcW w:w="992" w:type="dxa"/>
            <w:shd w:val="clear" w:color="auto" w:fill="auto"/>
            <w:vAlign w:val="center"/>
          </w:tcPr>
          <w:p w14:paraId="3D7812B2"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3%</w:t>
            </w:r>
          </w:p>
          <w:p w14:paraId="42721406"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2D771075"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337BE297" w14:textId="77777777" w:rsidTr="00607025">
        <w:tc>
          <w:tcPr>
            <w:tcW w:w="7187" w:type="dxa"/>
            <w:gridSpan w:val="2"/>
            <w:shd w:val="clear" w:color="auto" w:fill="auto"/>
          </w:tcPr>
          <w:p w14:paraId="00A20FA7" w14:textId="77777777" w:rsidR="00132447" w:rsidRPr="00132447" w:rsidRDefault="00132447" w:rsidP="00132447">
            <w:pPr>
              <w:tabs>
                <w:tab w:val="left" w:pos="567"/>
              </w:tabs>
              <w:spacing w:before="90" w:afterLines="54" w:after="129" w:line="312" w:lineRule="auto"/>
              <w:ind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 xml:space="preserve">13. Opdrachtnemer is gerechtigd om, namens Dell en </w:t>
            </w:r>
            <w:proofErr w:type="spellStart"/>
            <w:r w:rsidRPr="00132447">
              <w:rPr>
                <w:rFonts w:ascii="Trebuchet MS" w:eastAsia="Times New Roman" w:hAnsi="Trebuchet MS" w:cs="Calibri"/>
                <w:bCs/>
                <w:sz w:val="18"/>
                <w:szCs w:val="18"/>
                <w:lang w:eastAsia="nl-NL"/>
              </w:rPr>
              <w:t>Hewlett</w:t>
            </w:r>
            <w:proofErr w:type="spellEnd"/>
            <w:r w:rsidRPr="00132447">
              <w:rPr>
                <w:rFonts w:ascii="Trebuchet MS" w:eastAsia="Times New Roman" w:hAnsi="Trebuchet MS" w:cs="Calibri"/>
                <w:bCs/>
                <w:sz w:val="18"/>
                <w:szCs w:val="18"/>
                <w:lang w:eastAsia="nl-NL"/>
              </w:rPr>
              <w:t xml:space="preserve"> </w:t>
            </w:r>
            <w:proofErr w:type="spellStart"/>
            <w:r w:rsidRPr="00132447">
              <w:rPr>
                <w:rFonts w:ascii="Trebuchet MS" w:eastAsia="Times New Roman" w:hAnsi="Trebuchet MS" w:cs="Calibri"/>
                <w:bCs/>
                <w:sz w:val="18"/>
                <w:szCs w:val="18"/>
                <w:lang w:eastAsia="nl-NL"/>
              </w:rPr>
              <w:t>Packard</w:t>
            </w:r>
            <w:proofErr w:type="spellEnd"/>
            <w:r w:rsidRPr="00132447">
              <w:rPr>
                <w:rFonts w:ascii="Trebuchet MS" w:eastAsia="Times New Roman" w:hAnsi="Trebuchet MS" w:cs="Calibri"/>
                <w:bCs/>
                <w:sz w:val="18"/>
                <w:szCs w:val="18"/>
                <w:lang w:eastAsia="nl-NL"/>
              </w:rPr>
              <w:t>, service/onderhoud uit te voeren waarbij de garantie niet vervalt.</w:t>
            </w:r>
          </w:p>
        </w:tc>
        <w:tc>
          <w:tcPr>
            <w:tcW w:w="992" w:type="dxa"/>
            <w:shd w:val="clear" w:color="auto" w:fill="auto"/>
            <w:vAlign w:val="center"/>
          </w:tcPr>
          <w:p w14:paraId="643F395B"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 = 1%</w:t>
            </w:r>
          </w:p>
          <w:p w14:paraId="68884108"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Nee = 0</w:t>
            </w:r>
          </w:p>
        </w:tc>
        <w:tc>
          <w:tcPr>
            <w:tcW w:w="893" w:type="dxa"/>
            <w:shd w:val="clear" w:color="auto" w:fill="auto"/>
            <w:vAlign w:val="center"/>
          </w:tcPr>
          <w:p w14:paraId="4E33C791"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t>Ja/Nee</w:t>
            </w:r>
          </w:p>
        </w:tc>
      </w:tr>
      <w:tr w:rsidR="00132447" w:rsidRPr="00132447" w14:paraId="21A66398" w14:textId="77777777" w:rsidTr="00607025">
        <w:tc>
          <w:tcPr>
            <w:tcW w:w="7187" w:type="dxa"/>
            <w:gridSpan w:val="2"/>
            <w:shd w:val="clear" w:color="auto" w:fill="auto"/>
          </w:tcPr>
          <w:p w14:paraId="32B07753"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p>
        </w:tc>
        <w:tc>
          <w:tcPr>
            <w:tcW w:w="992" w:type="dxa"/>
            <w:shd w:val="clear" w:color="auto" w:fill="auto"/>
            <w:vAlign w:val="center"/>
          </w:tcPr>
          <w:p w14:paraId="36DE7508"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p>
        </w:tc>
        <w:tc>
          <w:tcPr>
            <w:tcW w:w="893" w:type="dxa"/>
            <w:shd w:val="clear" w:color="auto" w:fill="auto"/>
            <w:vAlign w:val="center"/>
          </w:tcPr>
          <w:p w14:paraId="0F3C917F"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p>
        </w:tc>
      </w:tr>
      <w:tr w:rsidR="00132447" w:rsidRPr="00132447" w14:paraId="3E30979F" w14:textId="77777777" w:rsidTr="00607025">
        <w:tc>
          <w:tcPr>
            <w:tcW w:w="7187" w:type="dxa"/>
            <w:gridSpan w:val="2"/>
            <w:shd w:val="clear" w:color="auto" w:fill="auto"/>
          </w:tcPr>
          <w:p w14:paraId="07478960" w14:textId="77777777" w:rsidR="00132447" w:rsidRPr="00132447" w:rsidRDefault="00132447" w:rsidP="00132447">
            <w:pPr>
              <w:tabs>
                <w:tab w:val="left" w:pos="567"/>
              </w:tabs>
              <w:spacing w:before="90" w:afterLines="54" w:after="129" w:line="312" w:lineRule="auto"/>
              <w:ind w:right="57"/>
              <w:jc w:val="both"/>
              <w:rPr>
                <w:rFonts w:ascii="Trebuchet MS" w:eastAsia="Times New Roman" w:hAnsi="Trebuchet MS" w:cs="Calibri"/>
                <w:bCs/>
                <w:sz w:val="18"/>
                <w:szCs w:val="18"/>
                <w:lang w:eastAsia="nl-NL"/>
              </w:rPr>
            </w:pPr>
            <w:r w:rsidRPr="00132447">
              <w:rPr>
                <w:rFonts w:ascii="Trebuchet MS" w:eastAsia="Times New Roman" w:hAnsi="Trebuchet MS" w:cs="Calibri"/>
                <w:bCs/>
                <w:sz w:val="18"/>
                <w:szCs w:val="18"/>
                <w:lang w:eastAsia="nl-NL"/>
              </w:rPr>
              <w:lastRenderedPageBreak/>
              <w:t>* = Maximaal 15% vermindering bij dertien positieve antwoorden. Indien geen antwoord wordt gegeven op de desbetreffende vraag wordt er niets in mindering gebracht.</w:t>
            </w:r>
          </w:p>
          <w:p w14:paraId="5E6DE278" w14:textId="77777777" w:rsidR="00132447" w:rsidRPr="00132447" w:rsidRDefault="00132447" w:rsidP="00132447">
            <w:pPr>
              <w:tabs>
                <w:tab w:val="left" w:pos="567"/>
              </w:tabs>
              <w:spacing w:before="90" w:afterLines="54" w:after="129" w:line="312" w:lineRule="auto"/>
              <w:ind w:left="57" w:right="57"/>
              <w:jc w:val="both"/>
              <w:rPr>
                <w:rFonts w:ascii="Trebuchet MS" w:eastAsia="Times New Roman" w:hAnsi="Trebuchet MS" w:cs="Calibri"/>
                <w:bCs/>
                <w:sz w:val="18"/>
                <w:szCs w:val="18"/>
                <w:highlight w:val="yellow"/>
                <w:lang w:eastAsia="nl-NL"/>
              </w:rPr>
            </w:pPr>
            <w:r w:rsidRPr="00132447">
              <w:rPr>
                <w:rFonts w:ascii="Trebuchet MS" w:eastAsia="Times New Roman" w:hAnsi="Trebuchet MS" w:cs="Calibri"/>
                <w:bCs/>
                <w:sz w:val="18"/>
                <w:szCs w:val="18"/>
                <w:lang w:eastAsia="nl-NL"/>
              </w:rPr>
              <w:t>Inschrijver dient desgevraagd te kunnen aantonen dat de gegeven antwoorden realistisch zijn en dient dit te kunnen onderbouwen.</w:t>
            </w:r>
          </w:p>
        </w:tc>
        <w:tc>
          <w:tcPr>
            <w:tcW w:w="992" w:type="dxa"/>
            <w:shd w:val="clear" w:color="auto" w:fill="auto"/>
            <w:vAlign w:val="center"/>
          </w:tcPr>
          <w:p w14:paraId="3895F115" w14:textId="77777777" w:rsidR="00132447" w:rsidRPr="00132447" w:rsidRDefault="00132447" w:rsidP="00132447">
            <w:pPr>
              <w:tabs>
                <w:tab w:val="left" w:pos="567"/>
              </w:tabs>
              <w:spacing w:before="90" w:afterLines="54" w:after="129" w:line="312" w:lineRule="auto"/>
              <w:ind w:left="57" w:right="57"/>
              <w:rPr>
                <w:rFonts w:ascii="Trebuchet MS" w:eastAsia="Times New Roman" w:hAnsi="Trebuchet MS" w:cs="Calibri"/>
                <w:bCs/>
                <w:sz w:val="18"/>
                <w:szCs w:val="18"/>
                <w:lang w:eastAsia="nl-NL"/>
              </w:rPr>
            </w:pPr>
          </w:p>
        </w:tc>
        <w:tc>
          <w:tcPr>
            <w:tcW w:w="893" w:type="dxa"/>
            <w:shd w:val="clear" w:color="auto" w:fill="auto"/>
            <w:vAlign w:val="center"/>
          </w:tcPr>
          <w:p w14:paraId="6B4E8426" w14:textId="77777777" w:rsidR="00132447" w:rsidRPr="00132447" w:rsidRDefault="00132447" w:rsidP="00132447">
            <w:pPr>
              <w:tabs>
                <w:tab w:val="left" w:pos="567"/>
              </w:tabs>
              <w:spacing w:after="0" w:line="312" w:lineRule="auto"/>
              <w:rPr>
                <w:rFonts w:ascii="Trebuchet MS" w:eastAsia="Times New Roman" w:hAnsi="Trebuchet MS" w:cs="Calibri"/>
                <w:bCs/>
                <w:sz w:val="18"/>
                <w:szCs w:val="18"/>
                <w:lang w:eastAsia="nl-NL"/>
              </w:rPr>
            </w:pPr>
          </w:p>
        </w:tc>
      </w:tr>
    </w:tbl>
    <w:p w14:paraId="6063D4CD" w14:textId="77777777" w:rsidR="00FC3043" w:rsidRDefault="00FC3043" w:rsidP="00242780"/>
    <w:sectPr w:rsidR="00FC3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2E"/>
    <w:rsid w:val="000534D7"/>
    <w:rsid w:val="00081066"/>
    <w:rsid w:val="001139C8"/>
    <w:rsid w:val="00132447"/>
    <w:rsid w:val="00157557"/>
    <w:rsid w:val="00173F0A"/>
    <w:rsid w:val="00196943"/>
    <w:rsid w:val="001D7644"/>
    <w:rsid w:val="00242780"/>
    <w:rsid w:val="00260937"/>
    <w:rsid w:val="002B0337"/>
    <w:rsid w:val="002F35D8"/>
    <w:rsid w:val="002F54C2"/>
    <w:rsid w:val="00417173"/>
    <w:rsid w:val="0045306D"/>
    <w:rsid w:val="004619B7"/>
    <w:rsid w:val="00502838"/>
    <w:rsid w:val="00583E6F"/>
    <w:rsid w:val="005A19CC"/>
    <w:rsid w:val="005E26A7"/>
    <w:rsid w:val="006056B7"/>
    <w:rsid w:val="00616EAC"/>
    <w:rsid w:val="006950D8"/>
    <w:rsid w:val="006D0C18"/>
    <w:rsid w:val="007E7864"/>
    <w:rsid w:val="008127B4"/>
    <w:rsid w:val="008A7001"/>
    <w:rsid w:val="008D36A2"/>
    <w:rsid w:val="008E4871"/>
    <w:rsid w:val="009075AF"/>
    <w:rsid w:val="009174A1"/>
    <w:rsid w:val="00990018"/>
    <w:rsid w:val="009C284B"/>
    <w:rsid w:val="009D7A2E"/>
    <w:rsid w:val="009E4A24"/>
    <w:rsid w:val="00A462C9"/>
    <w:rsid w:val="00A7092E"/>
    <w:rsid w:val="00AD078D"/>
    <w:rsid w:val="00B567D3"/>
    <w:rsid w:val="00B87575"/>
    <w:rsid w:val="00BE49E1"/>
    <w:rsid w:val="00C56C57"/>
    <w:rsid w:val="00C618D7"/>
    <w:rsid w:val="00C94FC3"/>
    <w:rsid w:val="00CC2A19"/>
    <w:rsid w:val="00CD6E03"/>
    <w:rsid w:val="00CE40D4"/>
    <w:rsid w:val="00CE65C1"/>
    <w:rsid w:val="00D33891"/>
    <w:rsid w:val="00DA7E4C"/>
    <w:rsid w:val="00E408BD"/>
    <w:rsid w:val="00E63E57"/>
    <w:rsid w:val="00F1103D"/>
    <w:rsid w:val="00F35C78"/>
    <w:rsid w:val="00F40DB1"/>
    <w:rsid w:val="00FA135C"/>
    <w:rsid w:val="00FA6128"/>
    <w:rsid w:val="00FC3043"/>
    <w:rsid w:val="00FE1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9A7D"/>
  <w15:chartTrackingRefBased/>
  <w15:docId w15:val="{B259D332-36D3-436E-A2F5-A77E880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CC2A19"/>
    <w:rPr>
      <w:color w:val="0000FF"/>
      <w:u w:val="single"/>
    </w:rPr>
  </w:style>
  <w:style w:type="paragraph" w:styleId="Geenafstand">
    <w:name w:val="No Spacing"/>
    <w:uiPriority w:val="1"/>
    <w:qFormat/>
    <w:rsid w:val="00CC2A19"/>
    <w:pPr>
      <w:spacing w:after="0" w:line="240" w:lineRule="auto"/>
    </w:pPr>
  </w:style>
  <w:style w:type="paragraph" w:styleId="Lijstalinea">
    <w:name w:val="List Paragraph"/>
    <w:basedOn w:val="Standaard"/>
    <w:uiPriority w:val="34"/>
    <w:qFormat/>
    <w:rsid w:val="00242780"/>
    <w:pPr>
      <w:tabs>
        <w:tab w:val="left" w:pos="567"/>
      </w:tabs>
      <w:spacing w:after="0" w:line="312" w:lineRule="auto"/>
      <w:ind w:left="720"/>
      <w:contextualSpacing/>
      <w:jc w:val="both"/>
    </w:pPr>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548333">
      <w:bodyDiv w:val="1"/>
      <w:marLeft w:val="0"/>
      <w:marRight w:val="0"/>
      <w:marTop w:val="0"/>
      <w:marBottom w:val="0"/>
      <w:divBdr>
        <w:top w:val="none" w:sz="0" w:space="0" w:color="auto"/>
        <w:left w:val="none" w:sz="0" w:space="0" w:color="auto"/>
        <w:bottom w:val="none" w:sz="0" w:space="0" w:color="auto"/>
        <w:right w:val="none" w:sz="0" w:space="0" w:color="auto"/>
      </w:divBdr>
    </w:div>
    <w:div w:id="19485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DC37EC0CB3B40B8802F08898CEECA" ma:contentTypeVersion="15" ma:contentTypeDescription="Een nieuw document maken." ma:contentTypeScope="" ma:versionID="e513e88de16cdc1ed1ee62d9a2b51afe">
  <xsd:schema xmlns:xsd="http://www.w3.org/2001/XMLSchema" xmlns:xs="http://www.w3.org/2001/XMLSchema" xmlns:p="http://schemas.microsoft.com/office/2006/metadata/properties" xmlns:ns2="a3b0d6ac-75af-4112-97b1-4aa412cb0128" xmlns:ns3="7cb6fdb5-6a86-4018-b670-a1d730a5a43f" targetNamespace="http://schemas.microsoft.com/office/2006/metadata/properties" ma:root="true" ma:fieldsID="faceec485eccb01611b5ccc9611d7a66" ns2:_="" ns3:_="">
    <xsd:import namespace="a3b0d6ac-75af-4112-97b1-4aa412cb0128"/>
    <xsd:import namespace="7cb6fdb5-6a86-4018-b670-a1d730a5a43f"/>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d6ac-75af-4112-97b1-4aa412cb0128" elementFormDefault="qualified">
    <xsd:import namespace="http://schemas.microsoft.com/office/2006/documentManagement/types"/>
    <xsd:import namespace="http://schemas.microsoft.com/office/infopath/2007/PartnerControls"/>
    <xsd:element name="Status" ma:index="8" nillable="true" ma:displayName="Status" ma:default="Concept" ma:format="Dropdown" ma:internalName="Status">
      <xsd:simpleType>
        <xsd:restriction base="dms:Choice">
          <xsd:enumeration value="Concept"/>
          <xsd:enumeration value="Definitief"/>
          <xsd:enumeration value="Vastgestel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6fdb5-6a86-4018-b670-a1d730a5a4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f8a860-c0f0-477f-8059-a0e4a9ae96a6}" ma:internalName="TaxCatchAll" ma:showField="CatchAllData" ma:web="7cb6fdb5-6a86-4018-b670-a1d730a5a4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a3b0d6ac-75af-4112-97b1-4aa412cb0128">Concept</Status>
    <TaxCatchAll xmlns="7cb6fdb5-6a86-4018-b670-a1d730a5a43f" xsi:nil="true"/>
    <lcf76f155ced4ddcb4097134ff3c332f xmlns="a3b0d6ac-75af-4112-97b1-4aa412cb01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4E3C0-FB62-4404-8E17-93E4877BE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d6ac-75af-4112-97b1-4aa412cb0128"/>
    <ds:schemaRef ds:uri="7cb6fdb5-6a86-4018-b670-a1d730a5a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61F01-EFCC-41FE-9DD8-43AC89E628EA}">
  <ds:schemaRefs>
    <ds:schemaRef ds:uri="http://schemas.microsoft.com/office/2006/metadata/properties"/>
    <ds:schemaRef ds:uri="http://schemas.microsoft.com/office/infopath/2007/PartnerControls"/>
    <ds:schemaRef ds:uri="a3b0d6ac-75af-4112-97b1-4aa412cb0128"/>
    <ds:schemaRef ds:uri="7cb6fdb5-6a86-4018-b670-a1d730a5a43f"/>
  </ds:schemaRefs>
</ds:datastoreItem>
</file>

<file path=customXml/itemProps3.xml><?xml version="1.0" encoding="utf-8"?>
<ds:datastoreItem xmlns:ds="http://schemas.openxmlformats.org/officeDocument/2006/customXml" ds:itemID="{686DCE03-31E6-4C31-A776-0A0929908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798</Words>
  <Characters>4395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O2G2</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Minke Dijkstra</dc:creator>
  <cp:keywords/>
  <dc:description/>
  <cp:lastModifiedBy>Michel Postuma</cp:lastModifiedBy>
  <cp:revision>25</cp:revision>
  <dcterms:created xsi:type="dcterms:W3CDTF">2022-07-28T08:49:00Z</dcterms:created>
  <dcterms:modified xsi:type="dcterms:W3CDTF">2025-01-23T13:02:00Z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0x010100908DC37EC0CB3B40B8802F08898CEECA</vt:lpwstr>
  </property>
  <property fmtid="{D5CDD505-2E9C-101B-9397-08002B2CF9AE}" pid="3" name="Order">
    <vt:r8>18207000</vt:r8>
  </property>
  <property fmtid="{D5CDD505-2E9C-101B-9397-08002B2CF9AE}" pid="4" name="_dlc_DocIdItemGuid">
    <vt:lpwstr>36bbbd5e-87ba-4419-9278-aacda0354d00</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