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D0" w:rsidRPr="00DC7FD0" w:rsidRDefault="00DC7FD0">
      <w:pPr>
        <w:rPr>
          <w:b/>
        </w:rPr>
      </w:pPr>
      <w:r w:rsidRPr="00DC7FD0">
        <w:rPr>
          <w:b/>
        </w:rPr>
        <w:t>Nota van inlichtingen: Vergroening Nederlands gas</w:t>
      </w:r>
    </w:p>
    <w:p w:rsidR="00DC7FD0" w:rsidRDefault="00AF0E30">
      <w:r>
        <w:t>Informatiebijeenkomst d</w:t>
      </w:r>
      <w:r w:rsidR="00DC7FD0">
        <w:t>.d. 13 mei 2014</w:t>
      </w:r>
      <w:r w:rsidR="00BB68FD">
        <w:t xml:space="preserve"> 15.00 – 17.00 uur</w:t>
      </w:r>
      <w:r w:rsidR="00DC7FD0">
        <w:t xml:space="preserve"> in Den Haag</w:t>
      </w:r>
    </w:p>
    <w:p w:rsidR="00DC7FD0" w:rsidRDefault="00DC7F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DC7FD0" w:rsidRPr="00DC7FD0" w:rsidTr="000269F3">
        <w:tc>
          <w:tcPr>
            <w:tcW w:w="3652" w:type="dxa"/>
          </w:tcPr>
          <w:p w:rsidR="00DC7FD0" w:rsidRPr="00DC7FD0" w:rsidRDefault="00DC7FD0">
            <w:pPr>
              <w:rPr>
                <w:b/>
              </w:rPr>
            </w:pPr>
            <w:r w:rsidRPr="00DC7FD0">
              <w:rPr>
                <w:b/>
              </w:rPr>
              <w:t>Vragen</w:t>
            </w:r>
          </w:p>
        </w:tc>
        <w:tc>
          <w:tcPr>
            <w:tcW w:w="5560" w:type="dxa"/>
          </w:tcPr>
          <w:p w:rsidR="00DC7FD0" w:rsidRPr="00DC7FD0" w:rsidRDefault="00DC7FD0">
            <w:pPr>
              <w:rPr>
                <w:b/>
              </w:rPr>
            </w:pPr>
            <w:r w:rsidRPr="00DC7FD0">
              <w:rPr>
                <w:b/>
              </w:rPr>
              <w:t>Antwoorden</w:t>
            </w:r>
          </w:p>
        </w:tc>
      </w:tr>
      <w:tr w:rsidR="00850ADA" w:rsidRPr="009A322F" w:rsidTr="000269F3">
        <w:tc>
          <w:tcPr>
            <w:tcW w:w="3652" w:type="dxa"/>
          </w:tcPr>
          <w:p w:rsidR="00850ADA" w:rsidRPr="009A322F" w:rsidRDefault="00850ADA">
            <w:pPr>
              <w:rPr>
                <w:b/>
                <w:i/>
              </w:rPr>
            </w:pPr>
            <w:r w:rsidRPr="009A322F">
              <w:rPr>
                <w:b/>
                <w:i/>
              </w:rPr>
              <w:t>Verhaal Marco</w:t>
            </w:r>
            <w:r w:rsidR="00AF0E30">
              <w:rPr>
                <w:b/>
                <w:i/>
              </w:rPr>
              <w:t xml:space="preserve"> Schwegler</w:t>
            </w:r>
          </w:p>
        </w:tc>
        <w:tc>
          <w:tcPr>
            <w:tcW w:w="5560" w:type="dxa"/>
          </w:tcPr>
          <w:p w:rsidR="00850ADA" w:rsidRPr="009A322F" w:rsidRDefault="00850ADA">
            <w:pPr>
              <w:rPr>
                <w:b/>
                <w:i/>
              </w:rPr>
            </w:pPr>
          </w:p>
        </w:tc>
      </w:tr>
      <w:tr w:rsidR="00DC7FD0" w:rsidTr="000269F3">
        <w:tc>
          <w:tcPr>
            <w:tcW w:w="3652" w:type="dxa"/>
          </w:tcPr>
          <w:p w:rsidR="00DC7FD0" w:rsidRDefault="00DC7FD0">
            <w:r>
              <w:t>In hoeverre moet SBIR offerte aansluiten bij concept Ministeriële regeling?</w:t>
            </w:r>
          </w:p>
          <w:p w:rsidR="00850ADA" w:rsidRDefault="00C43B00">
            <w:r>
              <w:t>[Betreft de concept ministeriële regeling Gaskwaliteit, link/verwijzing]</w:t>
            </w:r>
          </w:p>
        </w:tc>
        <w:tc>
          <w:tcPr>
            <w:tcW w:w="5560" w:type="dxa"/>
          </w:tcPr>
          <w:p w:rsidR="00DC7FD0" w:rsidRDefault="000269F3">
            <w:r>
              <w:t>Uit de SBIR offerte moet wel blijken dat er kennis is van en ingespeeld wordt op beleidsmatige ontwikkelingen op gasgebied.</w:t>
            </w:r>
          </w:p>
        </w:tc>
      </w:tr>
      <w:tr w:rsidR="00DC7FD0" w:rsidTr="000269F3">
        <w:tc>
          <w:tcPr>
            <w:tcW w:w="3652" w:type="dxa"/>
          </w:tcPr>
          <w:p w:rsidR="00DC7FD0" w:rsidRDefault="00AF0E30">
            <w:r>
              <w:t>(Opmerking)</w:t>
            </w:r>
          </w:p>
        </w:tc>
        <w:tc>
          <w:tcPr>
            <w:tcW w:w="5560" w:type="dxa"/>
          </w:tcPr>
          <w:p w:rsidR="00DC7FD0" w:rsidRDefault="00DC7FD0" w:rsidP="00DC7FD0">
            <w:r>
              <w:t xml:space="preserve">Min. Reg. Gaskwaliteit is verantwoordelijkheid EZ </w:t>
            </w:r>
          </w:p>
        </w:tc>
      </w:tr>
      <w:tr w:rsidR="00DC7FD0" w:rsidTr="000269F3">
        <w:tc>
          <w:tcPr>
            <w:tcW w:w="3652" w:type="dxa"/>
          </w:tcPr>
          <w:p w:rsidR="00DC7FD0" w:rsidRDefault="00C43B00">
            <w:r>
              <w:t xml:space="preserve">Valt </w:t>
            </w:r>
            <w:r w:rsidR="00DC7FD0">
              <w:t xml:space="preserve">Power </w:t>
            </w:r>
            <w:proofErr w:type="spellStart"/>
            <w:r w:rsidR="00DC7FD0">
              <w:t>to</w:t>
            </w:r>
            <w:proofErr w:type="spellEnd"/>
            <w:r w:rsidR="00DC7FD0">
              <w:t xml:space="preserve"> gas</w:t>
            </w:r>
            <w:r>
              <w:t xml:space="preserve"> als concept onder vergroening</w:t>
            </w:r>
            <w:r w:rsidR="00DC7FD0">
              <w:t>?</w:t>
            </w:r>
          </w:p>
        </w:tc>
        <w:tc>
          <w:tcPr>
            <w:tcW w:w="5560" w:type="dxa"/>
          </w:tcPr>
          <w:p w:rsidR="00DC7FD0" w:rsidRDefault="00DC7FD0" w:rsidP="009A322F">
            <w:r>
              <w:t xml:space="preserve">Ja, dat is </w:t>
            </w:r>
            <w:r w:rsidR="00C43B00">
              <w:t xml:space="preserve">zeker </w:t>
            </w:r>
            <w:r>
              <w:t>een optie</w:t>
            </w:r>
            <w:r w:rsidR="009A322F">
              <w:t>, waterstof en synthesegas uit elektriciteit</w:t>
            </w:r>
          </w:p>
        </w:tc>
      </w:tr>
      <w:tr w:rsidR="00DC7FD0" w:rsidTr="000269F3">
        <w:tc>
          <w:tcPr>
            <w:tcW w:w="3652" w:type="dxa"/>
          </w:tcPr>
          <w:p w:rsidR="00DC7FD0" w:rsidRDefault="00850ADA" w:rsidP="00850ADA">
            <w:r>
              <w:t xml:space="preserve">Hoe groot zijn </w:t>
            </w:r>
            <w:r w:rsidR="00AF0E30">
              <w:t xml:space="preserve">de </w:t>
            </w:r>
            <w:r>
              <w:t>variaties?</w:t>
            </w:r>
          </w:p>
        </w:tc>
        <w:tc>
          <w:tcPr>
            <w:tcW w:w="5560" w:type="dxa"/>
          </w:tcPr>
          <w:p w:rsidR="00DC7FD0" w:rsidRDefault="00C43B00" w:rsidP="007574EC">
            <w:r w:rsidRPr="00C43B00">
              <w:t xml:space="preserve">De bandbreedte voor de Wobbe </w:t>
            </w:r>
            <w:r w:rsidR="007574EC">
              <w:t xml:space="preserve">index </w:t>
            </w:r>
            <w:r w:rsidRPr="00C43B00">
              <w:t xml:space="preserve">is tussen ongeveer 48 en 55,7. In Rotterdam </w:t>
            </w:r>
            <w:r w:rsidR="007574EC">
              <w:t>R</w:t>
            </w:r>
            <w:r w:rsidRPr="00C43B00">
              <w:t>ijnmond zijn variaties van 3-4 MJ in Wobbe nu normaal.</w:t>
            </w:r>
          </w:p>
        </w:tc>
      </w:tr>
      <w:tr w:rsidR="00DC7FD0" w:rsidTr="000269F3">
        <w:tc>
          <w:tcPr>
            <w:tcW w:w="3652" w:type="dxa"/>
          </w:tcPr>
          <w:p w:rsidR="00DC7FD0" w:rsidRDefault="00517AC4">
            <w:r>
              <w:t>Wat heeft voorkeur?</w:t>
            </w:r>
          </w:p>
        </w:tc>
        <w:tc>
          <w:tcPr>
            <w:tcW w:w="5560" w:type="dxa"/>
          </w:tcPr>
          <w:p w:rsidR="00517AC4" w:rsidRDefault="00517AC4" w:rsidP="000269F3">
            <w:r>
              <w:t xml:space="preserve">Betere kwaliteit en beter aanpassen zodat het past in standaard gebruik is goed. </w:t>
            </w:r>
            <w:r w:rsidR="000269F3">
              <w:t>Maar o</w:t>
            </w:r>
            <w:r>
              <w:t xml:space="preserve">ok </w:t>
            </w:r>
            <w:r w:rsidR="000269F3">
              <w:t xml:space="preserve">omgaan met meer variatie is goed. Geen </w:t>
            </w:r>
            <w:r w:rsidR="007574EC">
              <w:t xml:space="preserve">specifieke </w:t>
            </w:r>
            <w:r w:rsidR="000269F3">
              <w:t>voorkeur</w:t>
            </w:r>
            <w:r w:rsidR="007574EC">
              <w:t>, optimum is situatie afhankelijk</w:t>
            </w:r>
            <w:r w:rsidR="000269F3">
              <w:t>.</w:t>
            </w:r>
          </w:p>
        </w:tc>
      </w:tr>
      <w:tr w:rsidR="00DC7FD0" w:rsidTr="000269F3">
        <w:tc>
          <w:tcPr>
            <w:tcW w:w="3652" w:type="dxa"/>
          </w:tcPr>
          <w:p w:rsidR="00DC7FD0" w:rsidRDefault="00517AC4">
            <w:r>
              <w:t>Creëer je nu een tussenvorm? Waarom daarvoor gekozen?</w:t>
            </w:r>
          </w:p>
          <w:p w:rsidR="007574EC" w:rsidRDefault="007574EC">
            <w:r>
              <w:t>[in relatie tot de lichte verbreding van de G-gas band na 2021 waarna op lange termijn H-gas in beeld komt]</w:t>
            </w:r>
          </w:p>
        </w:tc>
        <w:tc>
          <w:tcPr>
            <w:tcW w:w="5560" w:type="dxa"/>
          </w:tcPr>
          <w:p w:rsidR="00DC7FD0" w:rsidRDefault="00517AC4" w:rsidP="007574EC">
            <w:r>
              <w:t>G</w:t>
            </w:r>
            <w:r w:rsidR="000269F3">
              <w:t>-gas</w:t>
            </w:r>
            <w:r>
              <w:t xml:space="preserve"> moet breder worden, zodat we meer gassen kunnen accepteren (speelt na 2021, afhankelijk hoe lang we standaardkwaliteit kunnen handhaven). Op termijn overgang naar H.</w:t>
            </w:r>
            <w:r w:rsidR="007574EC">
              <w:t xml:space="preserve"> Dit is vastgelegd beleid van het ministerie van Economische Zaken. </w:t>
            </w:r>
          </w:p>
        </w:tc>
      </w:tr>
      <w:tr w:rsidR="00517AC4" w:rsidTr="000269F3">
        <w:tc>
          <w:tcPr>
            <w:tcW w:w="3652" w:type="dxa"/>
          </w:tcPr>
          <w:p w:rsidR="00517AC4" w:rsidRPr="007574EC" w:rsidRDefault="00E94282" w:rsidP="00E94282">
            <w:r w:rsidRPr="007574EC">
              <w:t>Komt er t</w:t>
            </w:r>
            <w:r w:rsidR="00517AC4" w:rsidRPr="007574EC">
              <w:t xml:space="preserve">ot overgang naar H een </w:t>
            </w:r>
            <w:r w:rsidRPr="007574EC">
              <w:t>overgangsfase?</w:t>
            </w:r>
          </w:p>
        </w:tc>
        <w:tc>
          <w:tcPr>
            <w:tcW w:w="5560" w:type="dxa"/>
          </w:tcPr>
          <w:p w:rsidR="00517AC4" w:rsidRPr="007574EC" w:rsidRDefault="00E94282" w:rsidP="007574EC">
            <w:r w:rsidRPr="007574EC">
              <w:t xml:space="preserve">Ja, maar met </w:t>
            </w:r>
            <w:r w:rsidR="007574EC" w:rsidRPr="007574EC">
              <w:t>een beperkt</w:t>
            </w:r>
            <w:r w:rsidRPr="007574EC">
              <w:t xml:space="preserve"> gewijzigde bandbreedte, deze gaat van 1 naar 2</w:t>
            </w:r>
            <w:r w:rsidR="007574EC" w:rsidRPr="007574EC">
              <w:t xml:space="preserve"> </w:t>
            </w:r>
            <w:proofErr w:type="spellStart"/>
            <w:r w:rsidR="007574EC" w:rsidRPr="007574EC">
              <w:t>wobbe</w:t>
            </w:r>
            <w:proofErr w:type="spellEnd"/>
            <w:r w:rsidR="007574EC" w:rsidRPr="007574EC">
              <w:t>-punten (van 2 naar 4%).</w:t>
            </w:r>
          </w:p>
        </w:tc>
      </w:tr>
      <w:tr w:rsidR="00E94282" w:rsidTr="000269F3">
        <w:tc>
          <w:tcPr>
            <w:tcW w:w="3652" w:type="dxa"/>
          </w:tcPr>
          <w:p w:rsidR="00E94282" w:rsidRDefault="00E94282" w:rsidP="00E94282">
            <w:r>
              <w:t>Gaat het om productie van meer groen gas?</w:t>
            </w:r>
          </w:p>
        </w:tc>
        <w:tc>
          <w:tcPr>
            <w:tcW w:w="5560" w:type="dxa"/>
          </w:tcPr>
          <w:p w:rsidR="00E94282" w:rsidRDefault="00E94282" w:rsidP="00E94282">
            <w:r>
              <w:t>Nee, het gaat erom de veranderingen van groen gas op te vangen.</w:t>
            </w:r>
          </w:p>
        </w:tc>
      </w:tr>
      <w:tr w:rsidR="00E94282" w:rsidTr="000269F3">
        <w:tc>
          <w:tcPr>
            <w:tcW w:w="3652" w:type="dxa"/>
          </w:tcPr>
          <w:p w:rsidR="00E94282" w:rsidRDefault="00E94282">
            <w:r>
              <w:t>Bio LNG omzetten voor voertuigbrandstof, past dat?</w:t>
            </w:r>
          </w:p>
        </w:tc>
        <w:tc>
          <w:tcPr>
            <w:tcW w:w="5560" w:type="dxa"/>
          </w:tcPr>
          <w:p w:rsidR="00E94282" w:rsidRDefault="007574EC" w:rsidP="007574EC">
            <w:r w:rsidRPr="007574EC">
              <w:t xml:space="preserve">Voertuigbrandstoffen is een </w:t>
            </w:r>
            <w:r w:rsidR="00E94282" w:rsidRPr="007574EC">
              <w:t>gebruikerscategorie, die in aanmerking kan komen. Wel dient thema variatie hierin aan de orde te komen.</w:t>
            </w:r>
          </w:p>
        </w:tc>
      </w:tr>
      <w:tr w:rsidR="00E94282" w:rsidTr="000269F3">
        <w:tc>
          <w:tcPr>
            <w:tcW w:w="3652" w:type="dxa"/>
          </w:tcPr>
          <w:p w:rsidR="00E94282" w:rsidRDefault="00B62AB9" w:rsidP="00D42E9F">
            <w:r>
              <w:t xml:space="preserve">Biogas inpassen in het net, heeft RVO al nagedacht om dat via </w:t>
            </w:r>
            <w:r w:rsidR="007574EC">
              <w:t xml:space="preserve">bestaande </w:t>
            </w:r>
            <w:r>
              <w:t xml:space="preserve">upstream NAM locaties, met </w:t>
            </w:r>
            <w:r w:rsidR="00D42E9F">
              <w:t>gasbehandelingsapparatuur</w:t>
            </w:r>
            <w:r>
              <w:t>, in te voeren?</w:t>
            </w:r>
            <w:r w:rsidR="00D42E9F">
              <w:t xml:space="preserve"> </w:t>
            </w:r>
          </w:p>
        </w:tc>
        <w:tc>
          <w:tcPr>
            <w:tcW w:w="5560" w:type="dxa"/>
          </w:tcPr>
          <w:p w:rsidR="00E94282" w:rsidRDefault="00B62AB9" w:rsidP="00D42E9F">
            <w:r>
              <w:t xml:space="preserve">Deze variant nog niet eerder </w:t>
            </w:r>
            <w:r w:rsidR="007574EC">
              <w:t>in beeld geweest</w:t>
            </w:r>
            <w:r>
              <w:t xml:space="preserve">, </w:t>
            </w:r>
            <w:r w:rsidR="007574EC">
              <w:t xml:space="preserve">er zijn wel voorstellen </w:t>
            </w:r>
            <w:r>
              <w:t xml:space="preserve">met </w:t>
            </w:r>
            <w:r w:rsidR="007574EC">
              <w:t>biogas-hub</w:t>
            </w:r>
            <w:r>
              <w:t xml:space="preserve">s waar meerdere partijen gas </w:t>
            </w:r>
            <w:r w:rsidR="00D42E9F">
              <w:t xml:space="preserve">aanleveren en centraal </w:t>
            </w:r>
            <w:r>
              <w:t xml:space="preserve">opwaarderen. </w:t>
            </w:r>
            <w:r w:rsidR="00D42E9F">
              <w:t xml:space="preserve">De NAM installaties zijn voor de opwerking van CO2 houdend gas niet ontworpen. </w:t>
            </w:r>
          </w:p>
        </w:tc>
      </w:tr>
      <w:tr w:rsidR="00E94282" w:rsidTr="000269F3">
        <w:tc>
          <w:tcPr>
            <w:tcW w:w="3652" w:type="dxa"/>
          </w:tcPr>
          <w:p w:rsidR="00E94282" w:rsidRDefault="00B62AB9" w:rsidP="00B62AB9">
            <w:proofErr w:type="spellStart"/>
            <w:r>
              <w:t>Vergroenen</w:t>
            </w:r>
            <w:proofErr w:type="spellEnd"/>
            <w:r>
              <w:t xml:space="preserve"> van aardgas, zijn ook andere vormen van aardgas energie te gebruiken, bijv. kinetische energie?</w:t>
            </w:r>
          </w:p>
        </w:tc>
        <w:tc>
          <w:tcPr>
            <w:tcW w:w="5560" w:type="dxa"/>
          </w:tcPr>
          <w:p w:rsidR="00E94282" w:rsidRDefault="00B62AB9" w:rsidP="00D42E9F">
            <w:r>
              <w:t xml:space="preserve">Nee, dat gaat niet over gaskwaliteit. Bij </w:t>
            </w:r>
            <w:r w:rsidR="00D42E9F">
              <w:t xml:space="preserve">deze </w:t>
            </w:r>
            <w:r>
              <w:t xml:space="preserve">SBIR gaat het om </w:t>
            </w:r>
            <w:r w:rsidR="00D42E9F">
              <w:t>het omgaan met variaties in gas</w:t>
            </w:r>
            <w:r>
              <w:t xml:space="preserve">, niet </w:t>
            </w:r>
            <w:r w:rsidR="00D42E9F">
              <w:t xml:space="preserve">om het </w:t>
            </w:r>
            <w:r>
              <w:t>zuiniger maken van gasnet</w:t>
            </w:r>
          </w:p>
        </w:tc>
      </w:tr>
      <w:tr w:rsidR="00E94282" w:rsidTr="000269F3">
        <w:tc>
          <w:tcPr>
            <w:tcW w:w="3652" w:type="dxa"/>
          </w:tcPr>
          <w:p w:rsidR="00E94282" w:rsidRDefault="00B62AB9">
            <w:r>
              <w:t xml:space="preserve">Toekomstverwachting: een centraal net of </w:t>
            </w:r>
            <w:r w:rsidR="00A61D47">
              <w:t>decentrale infrastructuur voor gas?</w:t>
            </w:r>
          </w:p>
        </w:tc>
        <w:tc>
          <w:tcPr>
            <w:tcW w:w="5560" w:type="dxa"/>
          </w:tcPr>
          <w:p w:rsidR="00E94282" w:rsidRDefault="00A61D47">
            <w:r>
              <w:t xml:space="preserve">Verwachting: biogasleidingen, meer partijen die daarin samenwerken. </w:t>
            </w:r>
            <w:r w:rsidR="00D42E9F">
              <w:t xml:space="preserve">De kosten voor nieuwe infrastructuur </w:t>
            </w:r>
          </w:p>
        </w:tc>
      </w:tr>
      <w:tr w:rsidR="00E94282" w:rsidTr="000269F3">
        <w:tc>
          <w:tcPr>
            <w:tcW w:w="3652" w:type="dxa"/>
          </w:tcPr>
          <w:p w:rsidR="00E94282" w:rsidRDefault="00D42E9F">
            <w:r>
              <w:t xml:space="preserve">De </w:t>
            </w:r>
            <w:r w:rsidR="00A61D47">
              <w:t xml:space="preserve">H-gas </w:t>
            </w:r>
            <w:r>
              <w:t xml:space="preserve">problematiek </w:t>
            </w:r>
            <w:r w:rsidR="00A61D47">
              <w:t>moe</w:t>
            </w:r>
            <w:r>
              <w:t>s</w:t>
            </w:r>
            <w:r w:rsidR="00A61D47">
              <w:t>t toch al opgelost zijn voor 2012?</w:t>
            </w:r>
          </w:p>
        </w:tc>
        <w:tc>
          <w:tcPr>
            <w:tcW w:w="5560" w:type="dxa"/>
          </w:tcPr>
          <w:p w:rsidR="00E94282" w:rsidRDefault="00A61D47" w:rsidP="00D42E9F">
            <w:r>
              <w:t xml:space="preserve">Nee, </w:t>
            </w:r>
            <w:r w:rsidR="00D42E9F">
              <w:t xml:space="preserve">de oorspronkelijke termijn </w:t>
            </w:r>
            <w:r>
              <w:t xml:space="preserve">is verlengd, </w:t>
            </w:r>
            <w:r w:rsidR="00D42E9F">
              <w:t xml:space="preserve">sommige nu gekozen </w:t>
            </w:r>
            <w:r>
              <w:t xml:space="preserve">oplossingen </w:t>
            </w:r>
            <w:r w:rsidR="00D42E9F">
              <w:t>zijn</w:t>
            </w:r>
            <w:r>
              <w:t xml:space="preserve"> </w:t>
            </w:r>
            <w:proofErr w:type="spellStart"/>
            <w:r>
              <w:t>sub-optimaal</w:t>
            </w:r>
            <w:proofErr w:type="spellEnd"/>
            <w:r>
              <w:t>, hier is zeker nog ruimte voor vernieuwing</w:t>
            </w:r>
            <w:r w:rsidR="00D42E9F">
              <w:t xml:space="preserve"> en verbetering</w:t>
            </w:r>
            <w:r>
              <w:t>.</w:t>
            </w:r>
          </w:p>
        </w:tc>
      </w:tr>
      <w:tr w:rsidR="00E94282" w:rsidTr="000269F3">
        <w:tc>
          <w:tcPr>
            <w:tcW w:w="3652" w:type="dxa"/>
          </w:tcPr>
          <w:p w:rsidR="00E94282" w:rsidRDefault="00A61D47">
            <w:r>
              <w:t xml:space="preserve">Verschil met vorige </w:t>
            </w:r>
            <w:proofErr w:type="spellStart"/>
            <w:r>
              <w:t>SBIRs</w:t>
            </w:r>
            <w:proofErr w:type="spellEnd"/>
            <w:r>
              <w:t xml:space="preserve"> op gasgebied?</w:t>
            </w:r>
          </w:p>
        </w:tc>
        <w:tc>
          <w:tcPr>
            <w:tcW w:w="5560" w:type="dxa"/>
          </w:tcPr>
          <w:p w:rsidR="00E94282" w:rsidRDefault="00A61D47" w:rsidP="00A61D47">
            <w:r>
              <w:t>In deze oproep vooral focus en aandacht voor variaties veroorzaakt door duurzame gassen.</w:t>
            </w:r>
          </w:p>
        </w:tc>
      </w:tr>
      <w:tr w:rsidR="00431F5F" w:rsidTr="000269F3">
        <w:tc>
          <w:tcPr>
            <w:tcW w:w="3652" w:type="dxa"/>
          </w:tcPr>
          <w:p w:rsidR="00431F5F" w:rsidRDefault="00431F5F">
            <w:r>
              <w:t>Wat is omvang van fase 2 projecten?</w:t>
            </w:r>
          </w:p>
        </w:tc>
        <w:tc>
          <w:tcPr>
            <w:tcW w:w="5560" w:type="dxa"/>
          </w:tcPr>
          <w:p w:rsidR="00431F5F" w:rsidRDefault="00D42E9F" w:rsidP="00D42E9F">
            <w:r>
              <w:t xml:space="preserve">Ongeveer maximaal </w:t>
            </w:r>
            <w:r w:rsidR="00431F5F">
              <w:t>400.000 euro incl. btw</w:t>
            </w:r>
          </w:p>
        </w:tc>
      </w:tr>
      <w:tr w:rsidR="00E94282" w:rsidTr="000269F3">
        <w:tc>
          <w:tcPr>
            <w:tcW w:w="3652" w:type="dxa"/>
          </w:tcPr>
          <w:p w:rsidR="00E94282" w:rsidRDefault="00E94282"/>
        </w:tc>
        <w:tc>
          <w:tcPr>
            <w:tcW w:w="5560" w:type="dxa"/>
          </w:tcPr>
          <w:p w:rsidR="00E94282" w:rsidRDefault="00E94282"/>
        </w:tc>
      </w:tr>
      <w:tr w:rsidR="00E94282" w:rsidRPr="007833C1" w:rsidTr="000269F3">
        <w:tc>
          <w:tcPr>
            <w:tcW w:w="3652" w:type="dxa"/>
          </w:tcPr>
          <w:p w:rsidR="00E94282" w:rsidRPr="007833C1" w:rsidRDefault="007833C1">
            <w:pPr>
              <w:rPr>
                <w:b/>
              </w:rPr>
            </w:pPr>
            <w:r>
              <w:rPr>
                <w:b/>
              </w:rPr>
              <w:t xml:space="preserve">Verhaal </w:t>
            </w:r>
            <w:r w:rsidRPr="007833C1">
              <w:rPr>
                <w:b/>
              </w:rPr>
              <w:t>Jack</w:t>
            </w:r>
          </w:p>
        </w:tc>
        <w:tc>
          <w:tcPr>
            <w:tcW w:w="5560" w:type="dxa"/>
          </w:tcPr>
          <w:p w:rsidR="00E94282" w:rsidRPr="007833C1" w:rsidRDefault="00E94282">
            <w:pPr>
              <w:rPr>
                <w:b/>
              </w:rPr>
            </w:pPr>
          </w:p>
        </w:tc>
      </w:tr>
      <w:tr w:rsidR="00A61D47" w:rsidTr="000269F3">
        <w:tc>
          <w:tcPr>
            <w:tcW w:w="3652" w:type="dxa"/>
          </w:tcPr>
          <w:p w:rsidR="00A61D47" w:rsidRDefault="00431F5F">
            <w:r>
              <w:t>Samenstelling van de commissie al bekend?</w:t>
            </w:r>
          </w:p>
        </w:tc>
        <w:tc>
          <w:tcPr>
            <w:tcW w:w="5560" w:type="dxa"/>
          </w:tcPr>
          <w:p w:rsidR="00A61D47" w:rsidRDefault="00431F5F">
            <w:r>
              <w:t>Wordt bekend gemaakt via website</w:t>
            </w:r>
          </w:p>
        </w:tc>
      </w:tr>
    </w:tbl>
    <w:p w:rsidR="009B230C" w:rsidRDefault="009B230C"/>
    <w:sectPr w:rsidR="009B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D0"/>
    <w:rsid w:val="000269F3"/>
    <w:rsid w:val="00235E41"/>
    <w:rsid w:val="00425571"/>
    <w:rsid w:val="00431F5F"/>
    <w:rsid w:val="00517AC4"/>
    <w:rsid w:val="006C3A7E"/>
    <w:rsid w:val="00711167"/>
    <w:rsid w:val="007200D7"/>
    <w:rsid w:val="007574EC"/>
    <w:rsid w:val="007833C1"/>
    <w:rsid w:val="007F44D9"/>
    <w:rsid w:val="00850ADA"/>
    <w:rsid w:val="009A322F"/>
    <w:rsid w:val="009B230C"/>
    <w:rsid w:val="00A61D47"/>
    <w:rsid w:val="00AB2C38"/>
    <w:rsid w:val="00AF0E30"/>
    <w:rsid w:val="00B62AB9"/>
    <w:rsid w:val="00BB68FD"/>
    <w:rsid w:val="00C43B00"/>
    <w:rsid w:val="00D42E9F"/>
    <w:rsid w:val="00D577DE"/>
    <w:rsid w:val="00DC7FD0"/>
    <w:rsid w:val="00E94282"/>
    <w:rsid w:val="00E965A3"/>
    <w:rsid w:val="00F12695"/>
    <w:rsid w:val="00F1398C"/>
    <w:rsid w:val="00F178B4"/>
    <w:rsid w:val="00F27B48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C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C3A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C3A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C3A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3A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3A7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C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C3A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C3A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C3A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3A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3A7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FALTL0185044</dc:creator>
  <cp:keywords/>
  <dc:description/>
  <cp:lastModifiedBy>Schwegler, dr.ir. M.A. (Marco)</cp:lastModifiedBy>
  <cp:revision>3</cp:revision>
  <cp:lastPrinted>2014-05-15T07:46:00Z</cp:lastPrinted>
  <dcterms:created xsi:type="dcterms:W3CDTF">2014-05-15T10:19:00Z</dcterms:created>
  <dcterms:modified xsi:type="dcterms:W3CDTF">2014-05-23T07:57:00Z</dcterms:modified>
</cp:coreProperties>
</file>