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3DAB7" w14:textId="5A8C39DE" w:rsidR="005B3340" w:rsidRPr="00CA6BC5" w:rsidRDefault="005B3340" w:rsidP="006B1769">
      <w:pPr>
        <w:pStyle w:val="Plattetekst"/>
        <w:rPr>
          <w:rFonts w:cstheme="minorHAnsi"/>
        </w:rPr>
      </w:pPr>
    </w:p>
    <w:p w14:paraId="5F477B4F" w14:textId="0F6439EE" w:rsidR="003C25E5" w:rsidRDefault="003C25E5" w:rsidP="000B62A8">
      <w:pPr>
        <w:pStyle w:val="Kop1"/>
        <w:numPr>
          <w:ilvl w:val="0"/>
          <w:numId w:val="0"/>
        </w:numPr>
        <w:ind w:left="794" w:hanging="794"/>
      </w:pPr>
      <w:bookmarkStart w:id="0" w:name="_Toc72421333"/>
      <w:bookmarkStart w:id="1" w:name="_Toc500776210"/>
      <w:r>
        <w:t>Standaard verwerkersovereenkomst gemeenten</w:t>
      </w:r>
      <w:bookmarkEnd w:id="0"/>
    </w:p>
    <w:p w14:paraId="74223A50" w14:textId="77777777" w:rsidR="003C25E5" w:rsidRDefault="003C25E5" w:rsidP="009D1081">
      <w:pPr>
        <w:rPr>
          <w:b/>
          <w:sz w:val="24"/>
          <w:szCs w:val="24"/>
        </w:rPr>
      </w:pPr>
    </w:p>
    <w:p w14:paraId="40994000" w14:textId="281B3A92" w:rsidR="009D1081" w:rsidRPr="00363301" w:rsidRDefault="009D1081" w:rsidP="00363301">
      <w:pPr>
        <w:pStyle w:val="Kop2"/>
      </w:pPr>
      <w:bookmarkStart w:id="2" w:name="_Toc26885956"/>
      <w:bookmarkStart w:id="3" w:name="_Toc72421334"/>
      <w:r w:rsidRPr="00363301">
        <w:t xml:space="preserve">Verwerkersovereenkomst uitvoering </w:t>
      </w:r>
      <w:bookmarkEnd w:id="2"/>
      <w:bookmarkEnd w:id="3"/>
      <w:r w:rsidR="002060FA">
        <w:t>Constructieve toetsing</w:t>
      </w:r>
    </w:p>
    <w:p w14:paraId="523919D7" w14:textId="77777777" w:rsidR="009D1081" w:rsidRPr="00363301" w:rsidRDefault="009D1081" w:rsidP="009D1081">
      <w:pPr>
        <w:rPr>
          <w:rFonts w:asciiTheme="minorHAnsi" w:hAnsiTheme="minorHAnsi"/>
          <w:sz w:val="20"/>
          <w:szCs w:val="20"/>
        </w:rPr>
      </w:pPr>
    </w:p>
    <w:p w14:paraId="73A11EC6" w14:textId="03DBFCFD"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Gemeente </w:t>
      </w:r>
      <w:r w:rsidR="002060FA">
        <w:rPr>
          <w:rFonts w:asciiTheme="minorHAnsi" w:hAnsiTheme="minorHAnsi"/>
          <w:sz w:val="20"/>
          <w:szCs w:val="20"/>
        </w:rPr>
        <w:t>Houten</w:t>
      </w:r>
      <w:r w:rsidRPr="00363301">
        <w:rPr>
          <w:rFonts w:asciiTheme="minorHAnsi" w:hAnsiTheme="minorHAnsi"/>
          <w:sz w:val="20"/>
          <w:szCs w:val="20"/>
        </w:rPr>
        <w:t xml:space="preserve">, </w:t>
      </w:r>
      <w:r w:rsidR="00731D9E" w:rsidRPr="00363301">
        <w:rPr>
          <w:rFonts w:asciiTheme="minorHAnsi" w:hAnsiTheme="minorHAnsi"/>
          <w:sz w:val="20"/>
          <w:szCs w:val="20"/>
        </w:rPr>
        <w:t xml:space="preserve">waarvan </w:t>
      </w:r>
      <w:r w:rsidR="00731D9E" w:rsidRPr="002060FA">
        <w:rPr>
          <w:rFonts w:asciiTheme="minorHAnsi" w:hAnsiTheme="minorHAnsi"/>
          <w:sz w:val="20"/>
          <w:szCs w:val="20"/>
        </w:rPr>
        <w:t>het college van Burgemeester en Wethouders de</w:t>
      </w:r>
      <w:r w:rsidR="00731D9E" w:rsidRPr="00363301">
        <w:rPr>
          <w:rFonts w:asciiTheme="minorHAnsi" w:hAnsiTheme="minorHAnsi"/>
          <w:sz w:val="20"/>
          <w:szCs w:val="20"/>
        </w:rPr>
        <w:t xml:space="preserve"> verwerkingsverantwoordelijke is, </w:t>
      </w:r>
      <w:r w:rsidRPr="00363301">
        <w:rPr>
          <w:rFonts w:asciiTheme="minorHAnsi" w:hAnsiTheme="minorHAnsi"/>
          <w:sz w:val="20"/>
          <w:szCs w:val="20"/>
        </w:rPr>
        <w:t xml:space="preserve">verder te noemen Verwerkingsverantwoordelijke, hierbij rechtsgeldig vertegenwoordigd door de </w:t>
      </w:r>
      <w:r w:rsidR="002060FA">
        <w:rPr>
          <w:rFonts w:asciiTheme="minorHAnsi" w:hAnsiTheme="minorHAnsi"/>
          <w:sz w:val="20"/>
          <w:szCs w:val="20"/>
        </w:rPr>
        <w:t>H. Vicino, teammanager VTH</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4" w:name="OpenAt"/>
      <w:bookmarkEnd w:id="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32FF5BF5"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002060FA">
        <w:rPr>
          <w:rFonts w:asciiTheme="minorHAnsi" w:hAnsiTheme="minorHAnsi"/>
          <w:sz w:val="20"/>
          <w:szCs w:val="20"/>
        </w:rPr>
        <w:t>constructieve toetsing (bouw)plannen</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7B6D6F7" w14:textId="77777777" w:rsidR="00731D9E" w:rsidRPr="00363301" w:rsidRDefault="00731D9E" w:rsidP="009D1081">
      <w:pPr>
        <w:rPr>
          <w:rFonts w:asciiTheme="minorHAnsi" w:hAnsiTheme="minorHAnsi"/>
          <w:sz w:val="20"/>
          <w:szCs w:val="20"/>
        </w:rPr>
      </w:pP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D1C21D2" w14:textId="009FFB9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7"/>
    </w:p>
    <w:p w14:paraId="1B4A553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0BA7938" w14:textId="77777777" w:rsidR="00363301" w:rsidRDefault="00363301">
      <w:pPr>
        <w:rPr>
          <w:rFonts w:asciiTheme="minorHAnsi" w:hAnsiTheme="minorHAnsi"/>
          <w:b/>
          <w:sz w:val="20"/>
          <w:szCs w:val="20"/>
        </w:rPr>
      </w:pPr>
      <w:r>
        <w:rPr>
          <w:rFonts w:asciiTheme="minorHAnsi" w:hAnsiTheme="minorHAnsi"/>
          <w:b/>
          <w:sz w:val="20"/>
          <w:szCs w:val="20"/>
        </w:rPr>
        <w:br w:type="page"/>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1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1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4"/>
    </w:p>
    <w:bookmarkEnd w:id="1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428E1FB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5B1600FA"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2060FA">
        <w:rPr>
          <w:rFonts w:asciiTheme="minorHAnsi" w:hAnsiTheme="minorHAnsi"/>
          <w:b/>
          <w:sz w:val="20"/>
          <w:szCs w:val="20"/>
        </w:rPr>
        <w:t>Houten</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322BD67C"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w:t>
      </w:r>
      <w:r w:rsidR="002060FA">
        <w:rPr>
          <w:rFonts w:asciiTheme="minorHAnsi" w:hAnsiTheme="minorHAnsi"/>
          <w:sz w:val="20"/>
          <w:szCs w:val="20"/>
        </w:rPr>
        <w:t>H. Vicino</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1EFFF4B9"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w:t>
      </w:r>
      <w:r w:rsidR="002060FA">
        <w:rPr>
          <w:rFonts w:asciiTheme="minorHAnsi" w:hAnsiTheme="minorHAnsi"/>
          <w:sz w:val="20"/>
          <w:szCs w:val="20"/>
        </w:rPr>
        <w:t xml:space="preserve"> Houten</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1C0E10D" w14:textId="77777777" w:rsidR="008040D0" w:rsidRDefault="008040D0" w:rsidP="009D1081">
      <w:pPr>
        <w:rPr>
          <w:rFonts w:asciiTheme="minorHAnsi" w:hAnsiTheme="minorHAnsi"/>
          <w:sz w:val="20"/>
          <w:szCs w:val="20"/>
        </w:rPr>
        <w:sectPr w:rsidR="008040D0" w:rsidSect="00363301">
          <w:footerReference w:type="default" r:id="rId11"/>
          <w:pgSz w:w="11910" w:h="16840" w:code="9"/>
          <w:pgMar w:top="1560" w:right="1418" w:bottom="1418" w:left="1418" w:header="0" w:footer="476" w:gutter="0"/>
          <w:cols w:space="708"/>
        </w:sectPr>
      </w:pPr>
    </w:p>
    <w:p w14:paraId="51041C0A" w14:textId="0CD25781" w:rsidR="009D1081" w:rsidRPr="00363301" w:rsidRDefault="006172DB" w:rsidP="00363301">
      <w:pPr>
        <w:pStyle w:val="Kop2"/>
      </w:pPr>
      <w:bookmarkStart w:id="17" w:name="_Toc72421335"/>
      <w:r w:rsidRPr="00363301">
        <w:lastRenderedPageBreak/>
        <w:t>Bijlage 1: O</w:t>
      </w:r>
      <w:r w:rsidR="009D1081" w:rsidRPr="00363301">
        <w:t>verzicht van te verwerken</w:t>
      </w:r>
      <w:r w:rsidR="000227FE" w:rsidRPr="00363301">
        <w:t xml:space="preserve"> </w:t>
      </w:r>
      <w:r w:rsidR="009D1081" w:rsidRPr="00363301">
        <w:t>persoonsgegevens</w:t>
      </w:r>
      <w:bookmarkEnd w:id="1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F41ADE">
        <w:trPr>
          <w:trHeight w:val="574"/>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5DB37DBC"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r w:rsidR="000B62A8">
              <w:rPr>
                <w:rFonts w:asciiTheme="minorHAnsi" w:eastAsia="Verdana" w:hAnsiTheme="minorHAnsi"/>
                <w:b/>
                <w:bCs/>
                <w:color w:val="000000"/>
                <w:sz w:val="20"/>
                <w:szCs w:val="20"/>
              </w:rPr>
              <w:t xml:space="preserve"> (Ja/Nee)</w:t>
            </w:r>
          </w:p>
        </w:tc>
        <w:tc>
          <w:tcPr>
            <w:tcW w:w="1418" w:type="dxa"/>
          </w:tcPr>
          <w:p w14:paraId="142B92D9" w14:textId="00AB4D3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0B62A8">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F41ADE">
        <w:trPr>
          <w:trHeight w:val="862"/>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F41ADE">
        <w:trPr>
          <w:trHeight w:val="1149"/>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bookmarkEnd w:id="18"/>
    </w:tbl>
    <w:p w14:paraId="2F5440AC" w14:textId="1E71CB69" w:rsidR="009D1081" w:rsidRDefault="009D1081" w:rsidP="009D1081">
      <w:pPr>
        <w:rPr>
          <w:rFonts w:asciiTheme="minorHAnsi" w:eastAsia="Verdana" w:hAnsiTheme="minorHAnsi"/>
          <w:color w:val="000000"/>
          <w:sz w:val="20"/>
          <w:szCs w:val="20"/>
        </w:rPr>
      </w:pPr>
    </w:p>
    <w:p w14:paraId="0E9539DD" w14:textId="2A00D3CA" w:rsidR="000B62A8" w:rsidRDefault="000B62A8" w:rsidP="009D1081">
      <w:pPr>
        <w:rPr>
          <w:rFonts w:asciiTheme="minorHAnsi" w:eastAsia="Verdana" w:hAnsiTheme="minorHAnsi"/>
          <w:color w:val="000000"/>
          <w:sz w:val="20"/>
          <w:szCs w:val="20"/>
        </w:rPr>
      </w:pPr>
      <w:r w:rsidRPr="000B62A8">
        <w:rPr>
          <w:rFonts w:asciiTheme="minorHAnsi" w:eastAsia="Verdana" w:hAnsiTheme="minorHAnsi"/>
          <w:color w:val="000000"/>
          <w:sz w:val="20"/>
          <w:szCs w:val="20"/>
          <w:highlight w:val="yellow"/>
        </w:rPr>
        <w:t>Bewaartermijn persoonsgegevens</w:t>
      </w:r>
      <w:r>
        <w:rPr>
          <w:rFonts w:asciiTheme="minorHAnsi" w:eastAsia="Verdana" w:hAnsiTheme="minorHAnsi"/>
          <w:color w:val="000000"/>
          <w:sz w:val="20"/>
          <w:szCs w:val="20"/>
        </w:rPr>
        <w:t>:</w:t>
      </w:r>
    </w:p>
    <w:p w14:paraId="7B7F8901" w14:textId="77777777" w:rsidR="000B62A8" w:rsidRPr="00363301" w:rsidRDefault="000B62A8"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t</w:t>
            </w:r>
            <w:r w:rsidR="009D1081" w:rsidRPr="00363301">
              <w:rPr>
                <w:rFonts w:asciiTheme="minorHAnsi" w:eastAsia="Verdana" w:hAnsiTheme="minorHAnsi"/>
                <w:color w:val="000000"/>
                <w:sz w:val="20"/>
                <w:szCs w:val="20"/>
              </w:rPr>
              <w:t>elefoonnummer</w:t>
            </w:r>
            <w:r>
              <w:rPr>
                <w:rFonts w:asciiTheme="minorHAnsi" w:eastAsia="Verdana" w:hAnsiTheme="minorHAnsi"/>
                <w:color w:val="000000"/>
                <w:sz w:val="20"/>
                <w:szCs w:val="20"/>
              </w:rPr>
              <w:t>:</w:t>
            </w:r>
            <w:r w:rsidR="009D1081" w:rsidRPr="00363301">
              <w:rPr>
                <w:rFonts w:asciiTheme="minorHAnsi" w:eastAsia="Verdana" w:hAnsiTheme="minorHAnsi"/>
                <w:color w:val="000000"/>
                <w:sz w:val="20"/>
                <w:szCs w:val="20"/>
              </w:rPr>
              <w:t xml:space="preserve"> 070-</w:t>
            </w:r>
            <w:r>
              <w:rPr>
                <w:rFonts w:asciiTheme="minorHAnsi" w:eastAsia="Verdana" w:hAnsiTheme="minorHAnsi"/>
                <w:color w:val="000000"/>
                <w:sz w:val="20"/>
                <w:szCs w:val="20"/>
              </w:rPr>
              <w:t>204 55 11</w:t>
            </w:r>
          </w:p>
          <w:p w14:paraId="7BAE59D9" w14:textId="4DE3F188" w:rsidR="009D753C" w:rsidRPr="0036330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e-mailadres          : privacy@vng.nl</w:t>
            </w:r>
          </w:p>
        </w:tc>
      </w:tr>
    </w:tbl>
    <w:p w14:paraId="78ABE90B" w14:textId="77777777" w:rsidR="009D1081" w:rsidRPr="00363301" w:rsidRDefault="009D1081" w:rsidP="009D1081">
      <w:pPr>
        <w:rPr>
          <w:rFonts w:asciiTheme="minorHAnsi" w:eastAsia="Verdana" w:hAnsiTheme="minorHAnsi"/>
          <w:color w:val="000000"/>
          <w:sz w:val="20"/>
          <w:szCs w:val="20"/>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lastRenderedPageBreak/>
              <w:t>Naam en contactgegevens subverwerker</w:t>
            </w:r>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25562E50" w14:textId="77777777" w:rsidR="009D1081" w:rsidRPr="00363301" w:rsidRDefault="009D1081" w:rsidP="009D1081">
      <w:pPr>
        <w:rPr>
          <w:rFonts w:asciiTheme="minorHAnsi" w:eastAsia="Verdana" w:hAnsiTheme="minorHAnsi"/>
          <w:color w:val="000000"/>
          <w:sz w:val="20"/>
          <w:szCs w:val="20"/>
        </w:rPr>
      </w:pPr>
    </w:p>
    <w:p w14:paraId="763B743F" w14:textId="77777777" w:rsidR="009D1081" w:rsidRPr="00363301" w:rsidRDefault="009D1081" w:rsidP="009D1081">
      <w:pPr>
        <w:rPr>
          <w:rFonts w:asciiTheme="minorHAnsi" w:eastAsia="Verdana" w:hAnsiTheme="minorHAnsi"/>
          <w:color w:val="000000"/>
          <w:sz w:val="20"/>
          <w:szCs w:val="20"/>
        </w:rPr>
      </w:pPr>
    </w:p>
    <w:p w14:paraId="738F84FC" w14:textId="77777777" w:rsidR="008040D0" w:rsidRDefault="008040D0" w:rsidP="009D1081">
      <w:pPr>
        <w:rPr>
          <w:rFonts w:asciiTheme="minorHAnsi" w:eastAsia="Verdana" w:hAnsiTheme="minorHAnsi"/>
          <w:color w:val="000000"/>
          <w:sz w:val="20"/>
          <w:szCs w:val="20"/>
        </w:rPr>
        <w:sectPr w:rsidR="008040D0" w:rsidSect="008040D0">
          <w:pgSz w:w="16840" w:h="11910" w:orient="landscape" w:code="9"/>
          <w:pgMar w:top="1418" w:right="1560" w:bottom="1418" w:left="1418" w:header="0" w:footer="476" w:gutter="0"/>
          <w:cols w:space="708"/>
          <w:docGrid w:linePitch="299"/>
        </w:sectPr>
      </w:pPr>
    </w:p>
    <w:p w14:paraId="3E94E9C7" w14:textId="61EB2A9C" w:rsidR="009D1081" w:rsidRPr="00363301" w:rsidRDefault="006172DB" w:rsidP="00363301">
      <w:pPr>
        <w:pStyle w:val="Kop2"/>
      </w:pPr>
      <w:bookmarkStart w:id="19" w:name="_Toc72421336"/>
      <w:r w:rsidRPr="00363301">
        <w:lastRenderedPageBreak/>
        <w:t xml:space="preserve">Bijlage 2: </w:t>
      </w:r>
      <w:bookmarkStart w:id="20" w:name="_Hlk37365793"/>
      <w:r w:rsidRPr="00363301">
        <w:t>A</w:t>
      </w:r>
      <w:r w:rsidR="009D1081" w:rsidRPr="00363301">
        <w:t>antonen passend niveau van beveiliging</w:t>
      </w:r>
      <w:bookmarkEnd w:id="19"/>
      <w:bookmarkEnd w:id="20"/>
    </w:p>
    <w:p w14:paraId="71D95ED7" w14:textId="71815B0F" w:rsidR="009D1081" w:rsidRPr="00363301" w:rsidRDefault="009D1081" w:rsidP="009D1081">
      <w:pPr>
        <w:rPr>
          <w:rFonts w:asciiTheme="minorHAnsi" w:hAnsiTheme="minorHAnsi"/>
          <w:sz w:val="20"/>
          <w:szCs w:val="20"/>
        </w:rPr>
      </w:pPr>
    </w:p>
    <w:bookmarkEnd w:id="1"/>
    <w:p w14:paraId="1027398E" w14:textId="77777777" w:rsidR="004509C9" w:rsidRDefault="004509C9" w:rsidP="004509C9">
      <w:pPr>
        <w:pStyle w:val="Lijstalinea"/>
        <w:widowControl/>
        <w:tabs>
          <w:tab w:val="left" w:pos="397"/>
        </w:tabs>
        <w:autoSpaceDE/>
        <w:spacing w:before="0"/>
        <w:ind w:left="0" w:firstLine="0"/>
        <w:rPr>
          <w:rFonts w:asciiTheme="minorHAnsi" w:hAnsiTheme="minorHAnsi"/>
          <w:sz w:val="20"/>
          <w:szCs w:val="20"/>
        </w:rPr>
      </w:pPr>
      <w:r>
        <w:rPr>
          <w:rFonts w:asciiTheme="minorHAnsi" w:hAnsiTheme="minorHAnsi"/>
          <w:sz w:val="20"/>
          <w:szCs w:val="20"/>
          <w:highlight w:val="yellow"/>
        </w:rPr>
        <w:t>Normenstelsel (</w:t>
      </w:r>
      <w:r>
        <w:rPr>
          <w:rFonts w:asciiTheme="minorHAnsi" w:hAnsiTheme="minorHAnsi"/>
          <w:b/>
          <w:bCs/>
          <w:sz w:val="20"/>
          <w:szCs w:val="20"/>
          <w:highlight w:val="yellow"/>
        </w:rPr>
        <w:t>Aankruisen wat van toepassing is</w:t>
      </w:r>
      <w:r>
        <w:rPr>
          <w:rFonts w:asciiTheme="minorHAnsi" w:hAnsiTheme="minorHAnsi"/>
          <w:sz w:val="20"/>
          <w:szCs w:val="20"/>
          <w:highlight w:val="yellow"/>
        </w:rPr>
        <w:t>)</w:t>
      </w:r>
    </w:p>
    <w:p w14:paraId="4BD7BDEC" w14:textId="77777777" w:rsidR="004509C9" w:rsidRDefault="004509C9" w:rsidP="004509C9">
      <w:pPr>
        <w:pStyle w:val="Lijstalinea"/>
        <w:ind w:left="0" w:firstLine="0"/>
        <w:rPr>
          <w:rFonts w:asciiTheme="minorHAnsi" w:hAnsiTheme="minorHAnsi"/>
          <w:sz w:val="20"/>
          <w:szCs w:val="20"/>
        </w:rPr>
      </w:pPr>
      <w:r>
        <w:rPr>
          <w:rFonts w:asciiTheme="minorHAnsi" w:hAnsiTheme="minorHAnsi"/>
          <w:sz w:val="20"/>
          <w:szCs w:val="20"/>
        </w:rPr>
        <w:t>□ De verwerker werkt volgens een algemeen erkende norm voor informatiebeveiliging, te weten:</w:t>
      </w:r>
    </w:p>
    <w:p w14:paraId="2E9DEF8F" w14:textId="77777777" w:rsidR="004509C9" w:rsidRDefault="004509C9" w:rsidP="004509C9">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7BFC1F35" w14:textId="77777777" w:rsidR="004509C9" w:rsidRDefault="004509C9" w:rsidP="004509C9">
      <w:pPr>
        <w:pStyle w:val="Lijstalinea"/>
        <w:ind w:left="0" w:firstLine="0"/>
        <w:rPr>
          <w:rFonts w:asciiTheme="minorHAnsi" w:hAnsiTheme="minorHAnsi"/>
          <w:sz w:val="20"/>
          <w:szCs w:val="20"/>
        </w:rPr>
      </w:pPr>
    </w:p>
    <w:p w14:paraId="1246216D" w14:textId="77777777" w:rsidR="004509C9" w:rsidRDefault="004509C9" w:rsidP="004509C9">
      <w:pPr>
        <w:pStyle w:val="Lijstalinea"/>
        <w:ind w:left="0" w:firstLine="0"/>
        <w:rPr>
          <w:rFonts w:asciiTheme="minorHAnsi" w:hAnsiTheme="minorHAnsi"/>
          <w:sz w:val="20"/>
          <w:szCs w:val="20"/>
        </w:rPr>
      </w:pPr>
      <w:r>
        <w:rPr>
          <w:rFonts w:asciiTheme="minorHAnsi" w:hAnsiTheme="minorHAnsi"/>
          <w:sz w:val="20"/>
          <w:szCs w:val="20"/>
        </w:rPr>
        <w:t xml:space="preserve">□ De verwerker werkt  volgens een algemeen erkende overheidsnorm zoals de BIO, of vergelijkbaar, te weten: …………………………………………………………………………………………………….., </w:t>
      </w:r>
    </w:p>
    <w:p w14:paraId="277D1F1A" w14:textId="77777777" w:rsidR="004509C9" w:rsidRDefault="004509C9" w:rsidP="004509C9">
      <w:pPr>
        <w:pStyle w:val="Lijstalinea"/>
        <w:ind w:left="0" w:firstLine="0"/>
        <w:rPr>
          <w:rFonts w:asciiTheme="minorHAnsi" w:hAnsiTheme="minorHAnsi"/>
          <w:sz w:val="20"/>
          <w:szCs w:val="20"/>
        </w:rPr>
      </w:pPr>
    </w:p>
    <w:p w14:paraId="061EED62" w14:textId="77777777" w:rsidR="004509C9" w:rsidRDefault="004509C9" w:rsidP="004509C9">
      <w:pPr>
        <w:pStyle w:val="Lijstalinea"/>
        <w:ind w:left="0" w:firstLine="0"/>
        <w:rPr>
          <w:rFonts w:asciiTheme="minorHAnsi" w:hAnsiTheme="minorHAnsi"/>
          <w:sz w:val="20"/>
          <w:szCs w:val="20"/>
        </w:rPr>
      </w:pPr>
      <w:r>
        <w:rPr>
          <w:rFonts w:asciiTheme="minorHAnsi" w:hAnsiTheme="minorHAnsi"/>
          <w:sz w:val="20"/>
          <w:szCs w:val="20"/>
        </w:rPr>
        <w:t>□ De verwerker werkt volgens een andere norm, te weten:  ……………………………………………………………………………………..</w:t>
      </w:r>
    </w:p>
    <w:p w14:paraId="6B858045" w14:textId="77777777" w:rsidR="004509C9" w:rsidRDefault="004509C9" w:rsidP="004509C9">
      <w:pPr>
        <w:pStyle w:val="Lijstalinea"/>
        <w:ind w:left="0" w:firstLine="0"/>
        <w:rPr>
          <w:rFonts w:asciiTheme="minorHAnsi" w:hAnsiTheme="minorHAnsi"/>
          <w:sz w:val="20"/>
          <w:szCs w:val="20"/>
        </w:rPr>
      </w:pPr>
    </w:p>
    <w:p w14:paraId="7B96D5B1" w14:textId="77777777" w:rsidR="004509C9" w:rsidRDefault="004509C9" w:rsidP="004509C9">
      <w:pPr>
        <w:pStyle w:val="Lijstalinea"/>
        <w:ind w:left="0" w:firstLine="0"/>
        <w:rPr>
          <w:rFonts w:asciiTheme="minorHAnsi" w:hAnsiTheme="minorHAnsi"/>
          <w:sz w:val="20"/>
          <w:szCs w:val="20"/>
        </w:rPr>
      </w:pPr>
      <w:r>
        <w:rPr>
          <w:rFonts w:asciiTheme="minorHAnsi" w:hAnsiTheme="minorHAnsi"/>
          <w:sz w:val="20"/>
          <w:szCs w:val="20"/>
          <w:highlight w:val="yellow"/>
        </w:rPr>
        <w:t>Toereikendheid</w:t>
      </w:r>
      <w:r>
        <w:rPr>
          <w:rFonts w:asciiTheme="minorHAnsi" w:hAnsiTheme="minorHAnsi"/>
          <w:sz w:val="20"/>
          <w:szCs w:val="20"/>
        </w:rPr>
        <w:t xml:space="preserve"> </w:t>
      </w:r>
      <w:r>
        <w:rPr>
          <w:rFonts w:asciiTheme="minorHAnsi" w:hAnsiTheme="minorHAnsi"/>
          <w:sz w:val="20"/>
          <w:szCs w:val="20"/>
          <w:highlight w:val="yellow"/>
        </w:rPr>
        <w:t>(</w:t>
      </w:r>
      <w:r>
        <w:rPr>
          <w:rFonts w:asciiTheme="minorHAnsi" w:hAnsiTheme="minorHAnsi"/>
          <w:b/>
          <w:bCs/>
          <w:sz w:val="20"/>
          <w:szCs w:val="20"/>
          <w:highlight w:val="yellow"/>
        </w:rPr>
        <w:t>Aankruisen wat van toepassing is</w:t>
      </w:r>
      <w:r>
        <w:rPr>
          <w:rFonts w:asciiTheme="minorHAnsi" w:hAnsiTheme="minorHAnsi"/>
          <w:sz w:val="20"/>
          <w:szCs w:val="20"/>
          <w:highlight w:val="yellow"/>
        </w:rPr>
        <w:t>)</w:t>
      </w:r>
    </w:p>
    <w:p w14:paraId="6490E69A" w14:textId="77777777" w:rsidR="004509C9" w:rsidRDefault="004509C9" w:rsidP="004509C9">
      <w:pPr>
        <w:pStyle w:val="Lijstalinea"/>
        <w:widowControl/>
        <w:tabs>
          <w:tab w:val="left" w:pos="397"/>
        </w:tabs>
        <w:autoSpaceDE/>
        <w:spacing w:before="0"/>
        <w:ind w:left="0" w:firstLine="0"/>
        <w:rPr>
          <w:rFonts w:asciiTheme="minorHAnsi" w:hAnsiTheme="minorHAnsi"/>
          <w:sz w:val="20"/>
          <w:szCs w:val="20"/>
        </w:rPr>
      </w:pPr>
      <w:bookmarkStart w:id="21" w:name="_Hlk55238467"/>
      <w:r>
        <w:rPr>
          <w:rFonts w:asciiTheme="minorHAnsi" w:hAnsiTheme="minorHAnsi"/>
          <w:sz w:val="20"/>
          <w:szCs w:val="20"/>
        </w:rPr>
        <w:t>De toereikendheid van de informatiebeveiliging blijkt uit het volgende:</w:t>
      </w:r>
    </w:p>
    <w:p w14:paraId="25EB932A" w14:textId="77777777" w:rsidR="004509C9" w:rsidRDefault="004509C9" w:rsidP="004509C9">
      <w:pPr>
        <w:pStyle w:val="Lijstalinea"/>
        <w:widowControl/>
        <w:tabs>
          <w:tab w:val="left" w:pos="397"/>
        </w:tabs>
        <w:autoSpaceDE/>
        <w:spacing w:before="0"/>
        <w:ind w:left="0" w:firstLine="0"/>
        <w:rPr>
          <w:rFonts w:asciiTheme="minorHAnsi" w:hAnsiTheme="minorHAnsi"/>
          <w:sz w:val="20"/>
          <w:szCs w:val="20"/>
        </w:rPr>
      </w:pPr>
    </w:p>
    <w:p w14:paraId="59797757" w14:textId="77777777" w:rsidR="004509C9" w:rsidRDefault="004509C9" w:rsidP="004509C9">
      <w:pPr>
        <w:pStyle w:val="Lijstalinea"/>
        <w:widowControl/>
        <w:numPr>
          <w:ilvl w:val="0"/>
          <w:numId w:val="32"/>
        </w:numPr>
        <w:autoSpaceDE/>
        <w:spacing w:before="0"/>
        <w:ind w:left="360"/>
        <w:rPr>
          <w:rFonts w:ascii="Calibri" w:hAnsi="Calibri" w:cs="Calibri"/>
          <w:sz w:val="20"/>
          <w:szCs w:val="20"/>
        </w:rPr>
      </w:pPr>
      <w:r>
        <w:rPr>
          <w:rFonts w:ascii="Calibri" w:hAnsi="Calibri" w:cs="Calibri"/>
          <w:sz w:val="20"/>
          <w:szCs w:val="20"/>
        </w:rPr>
        <w:t>Verwerker verstrekt een actueel en geldig certificaat en verklaring van toepasselijkheid (VVT);</w:t>
      </w:r>
    </w:p>
    <w:p w14:paraId="23E43094" w14:textId="77777777" w:rsidR="004509C9" w:rsidRDefault="004509C9" w:rsidP="004509C9">
      <w:pPr>
        <w:pStyle w:val="Lijstalinea"/>
        <w:widowControl/>
        <w:numPr>
          <w:ilvl w:val="0"/>
          <w:numId w:val="32"/>
        </w:numPr>
        <w:autoSpaceDE/>
        <w:spacing w:before="0"/>
        <w:ind w:left="360"/>
        <w:rPr>
          <w:rFonts w:ascii="Calibri" w:hAnsi="Calibri" w:cs="Calibri"/>
          <w:sz w:val="20"/>
          <w:szCs w:val="20"/>
        </w:rPr>
      </w:pPr>
      <w:r>
        <w:rPr>
          <w:rFonts w:ascii="Calibri" w:hAnsi="Calibri" w:cs="Calibri"/>
          <w:sz w:val="20"/>
          <w:szCs w:val="20"/>
        </w:rPr>
        <w:t xml:space="preserve">Rapportages van periodieke externe controles zoals audits, pentesten of TPM’s (bijv. ISAE3xxx SOC type II); </w:t>
      </w:r>
    </w:p>
    <w:p w14:paraId="04286DCB" w14:textId="77777777" w:rsidR="004509C9" w:rsidRDefault="004509C9" w:rsidP="004509C9">
      <w:pPr>
        <w:pStyle w:val="Lijstalinea"/>
        <w:widowControl/>
        <w:numPr>
          <w:ilvl w:val="0"/>
          <w:numId w:val="32"/>
        </w:numPr>
        <w:autoSpaceDE/>
        <w:spacing w:before="0"/>
        <w:ind w:left="360"/>
        <w:rPr>
          <w:rFonts w:ascii="Calibri" w:hAnsi="Calibri" w:cs="Calibri"/>
          <w:sz w:val="20"/>
          <w:szCs w:val="20"/>
        </w:rPr>
      </w:pPr>
      <w:r>
        <w:rPr>
          <w:rFonts w:ascii="Calibri" w:hAnsi="Calibri" w:cs="Calibri"/>
          <w:sz w:val="20"/>
          <w:szCs w:val="20"/>
        </w:rPr>
        <w:t xml:space="preserve">Een assurance rapport (TPM) van een auditor die is aangesloten bij NOREA; </w:t>
      </w:r>
    </w:p>
    <w:p w14:paraId="1E08B7ED" w14:textId="77777777" w:rsidR="004509C9" w:rsidRDefault="004509C9" w:rsidP="004509C9">
      <w:pPr>
        <w:pStyle w:val="Lijstalinea"/>
        <w:widowControl/>
        <w:numPr>
          <w:ilvl w:val="0"/>
          <w:numId w:val="32"/>
        </w:numPr>
        <w:autoSpaceDE/>
        <w:spacing w:before="0"/>
        <w:ind w:left="360"/>
        <w:rPr>
          <w:rFonts w:ascii="Calibri" w:hAnsi="Calibri" w:cs="Calibri"/>
          <w:sz w:val="20"/>
          <w:szCs w:val="20"/>
        </w:rPr>
      </w:pPr>
      <w:r>
        <w:rPr>
          <w:rFonts w:ascii="Calibri" w:hAnsi="Calibri" w:cs="Calibri"/>
          <w:sz w:val="20"/>
          <w:szCs w:val="20"/>
        </w:rPr>
        <w:t>Eigen controles of eigen mededelingen over de beveiligingsmaatregelen zoals hieronder beschreven (in lijn met de aanpak uit hoofdstuk 4.4 uit de BIO, een ICV): ……………………………………………………………………………………………</w:t>
      </w:r>
    </w:p>
    <w:bookmarkEnd w:id="21"/>
    <w:p w14:paraId="4F84B4E5" w14:textId="77777777" w:rsidR="004509C9" w:rsidRDefault="004509C9" w:rsidP="004509C9">
      <w:pPr>
        <w:rPr>
          <w:rFonts w:ascii="Calibri" w:hAnsi="Calibri" w:cs="Calibri"/>
          <w:sz w:val="20"/>
          <w:szCs w:val="20"/>
        </w:rPr>
      </w:pPr>
    </w:p>
    <w:p w14:paraId="311C9F11" w14:textId="77777777" w:rsidR="004509C9" w:rsidRDefault="004509C9" w:rsidP="004509C9">
      <w:pPr>
        <w:rPr>
          <w:rFonts w:ascii="Calibri" w:hAnsi="Calibri" w:cs="Calibri"/>
          <w:sz w:val="20"/>
          <w:szCs w:val="20"/>
        </w:rPr>
      </w:pPr>
      <w:r>
        <w:rPr>
          <w:rFonts w:ascii="Calibri" w:eastAsia="Verdana" w:hAnsi="Calibri" w:cs="Calibri"/>
          <w:b/>
          <w:color w:val="000000"/>
          <w:sz w:val="20"/>
          <w:szCs w:val="20"/>
        </w:rPr>
        <w:t>NB:</w:t>
      </w:r>
      <w:r>
        <w:rPr>
          <w:rFonts w:ascii="Calibri" w:eastAsia="Verdana" w:hAnsi="Calibri" w:cs="Calibri"/>
          <w:color w:val="000000"/>
          <w:sz w:val="20"/>
          <w:szCs w:val="20"/>
        </w:rPr>
        <w:t xml:space="preserve"> </w:t>
      </w:r>
      <w:r>
        <w:rPr>
          <w:rFonts w:ascii="Calibri" w:hAnsi="Calibri" w:cs="Calibri"/>
          <w:sz w:val="20"/>
          <w:szCs w:val="20"/>
        </w:rPr>
        <w:t>Uit de certificering/periodieke externe controles/audits of uit de eigen controles/beschrijvingen blijkt of kan afgeleid worden dat de beveiliging passend is bij de verwerking(en) genoemd in Bijlage 1.</w:t>
      </w:r>
    </w:p>
    <w:p w14:paraId="320F1BE7" w14:textId="77777777" w:rsidR="004509C9" w:rsidRDefault="004509C9" w:rsidP="004509C9">
      <w:pPr>
        <w:rPr>
          <w:rFonts w:ascii="Calibri" w:hAnsi="Calibri" w:cs="Calibri"/>
          <w:sz w:val="20"/>
          <w:szCs w:val="20"/>
        </w:rPr>
      </w:pPr>
    </w:p>
    <w:p w14:paraId="08AE46C3" w14:textId="77777777" w:rsidR="004509C9" w:rsidRDefault="004509C9" w:rsidP="004509C9">
      <w:pPr>
        <w:rPr>
          <w:rFonts w:ascii="Calibri" w:hAnsi="Calibri" w:cs="Calibri"/>
          <w:sz w:val="20"/>
          <w:szCs w:val="20"/>
        </w:rPr>
      </w:pPr>
    </w:p>
    <w:p w14:paraId="20DD5227" w14:textId="77777777" w:rsidR="004509C9" w:rsidRDefault="004509C9" w:rsidP="004509C9">
      <w:pPr>
        <w:rPr>
          <w:rFonts w:asciiTheme="minorHAnsi" w:hAnsiTheme="minorHAnsi"/>
          <w:sz w:val="20"/>
          <w:szCs w:val="20"/>
        </w:rPr>
      </w:pPr>
      <w:r>
        <w:rPr>
          <w:rFonts w:asciiTheme="minorHAnsi" w:hAnsiTheme="minorHAnsi"/>
          <w:sz w:val="20"/>
          <w:szCs w:val="20"/>
        </w:rPr>
        <w:t>Aansluiting bij goedgekeurde gedragscode</w:t>
      </w:r>
    </w:p>
    <w:p w14:paraId="1F290C52" w14:textId="65A55531" w:rsidR="004509C9" w:rsidRDefault="004509C9" w:rsidP="004509C9">
      <w:pPr>
        <w:spacing w:line="290" w:lineRule="auto"/>
        <w:rPr>
          <w:rFonts w:ascii="Calibri" w:hAnsi="Calibri" w:cs="Calibri"/>
          <w:b/>
          <w:bCs/>
          <w:color w:val="00B0F0"/>
          <w:sz w:val="28"/>
          <w:szCs w:val="28"/>
        </w:rPr>
      </w:pPr>
      <w:r>
        <w:rPr>
          <w:rFonts w:asciiTheme="minorHAnsi" w:hAnsiTheme="minorHAnsi"/>
          <w:sz w:val="20"/>
          <w:szCs w:val="20"/>
        </w:rPr>
        <w:t>Verwerker is aangesloten bij een door een toezichthoudende autoriteit goedgekeurde gedragscode, te weten</w:t>
      </w:r>
      <w:r>
        <w:rPr>
          <w:rFonts w:asciiTheme="minorHAnsi" w:hAnsiTheme="minorHAnsi"/>
          <w:sz w:val="20"/>
        </w:rPr>
        <w:t xml:space="preserve"> ………………………………………………………………………………………………………………….</w:t>
      </w:r>
    </w:p>
    <w:p w14:paraId="659AEBA9" w14:textId="77777777" w:rsidR="004509C9" w:rsidRDefault="004509C9" w:rsidP="006306A6">
      <w:pPr>
        <w:spacing w:line="290" w:lineRule="auto"/>
        <w:jc w:val="center"/>
        <w:rPr>
          <w:rFonts w:ascii="Calibri" w:hAnsi="Calibri" w:cs="Calibri"/>
          <w:b/>
          <w:bCs/>
          <w:color w:val="00B0F0"/>
          <w:sz w:val="28"/>
          <w:szCs w:val="28"/>
        </w:rPr>
      </w:pPr>
    </w:p>
    <w:p w14:paraId="21ABFE77" w14:textId="77777777" w:rsidR="004509C9" w:rsidRDefault="004509C9" w:rsidP="006306A6">
      <w:pPr>
        <w:spacing w:line="290" w:lineRule="auto"/>
        <w:jc w:val="center"/>
        <w:rPr>
          <w:rFonts w:ascii="Calibri" w:hAnsi="Calibri" w:cs="Calibri"/>
          <w:b/>
          <w:bCs/>
          <w:color w:val="00B0F0"/>
          <w:sz w:val="28"/>
          <w:szCs w:val="28"/>
        </w:rPr>
      </w:pPr>
    </w:p>
    <w:p w14:paraId="6D7AF656" w14:textId="77777777" w:rsidR="004509C9" w:rsidRDefault="004509C9" w:rsidP="006306A6">
      <w:pPr>
        <w:spacing w:line="290" w:lineRule="auto"/>
        <w:jc w:val="center"/>
        <w:rPr>
          <w:rFonts w:ascii="Calibri" w:hAnsi="Calibri" w:cs="Calibri"/>
          <w:b/>
          <w:bCs/>
          <w:color w:val="00B0F0"/>
          <w:sz w:val="28"/>
          <w:szCs w:val="28"/>
        </w:rPr>
      </w:pPr>
    </w:p>
    <w:p w14:paraId="0F38C894" w14:textId="77777777" w:rsidR="004509C9" w:rsidRDefault="004509C9" w:rsidP="006306A6">
      <w:pPr>
        <w:spacing w:line="290" w:lineRule="auto"/>
        <w:jc w:val="center"/>
        <w:rPr>
          <w:rFonts w:ascii="Calibri" w:hAnsi="Calibri" w:cs="Calibri"/>
          <w:b/>
          <w:bCs/>
          <w:color w:val="00B0F0"/>
          <w:sz w:val="28"/>
          <w:szCs w:val="28"/>
        </w:rPr>
      </w:pPr>
    </w:p>
    <w:p w14:paraId="3E7B5DA2" w14:textId="77777777" w:rsidR="004509C9" w:rsidRDefault="004509C9" w:rsidP="006306A6">
      <w:pPr>
        <w:spacing w:line="290" w:lineRule="auto"/>
        <w:jc w:val="center"/>
        <w:rPr>
          <w:rFonts w:ascii="Calibri" w:hAnsi="Calibri" w:cs="Calibri"/>
          <w:b/>
          <w:bCs/>
          <w:color w:val="00B0F0"/>
          <w:sz w:val="28"/>
          <w:szCs w:val="28"/>
        </w:rPr>
      </w:pPr>
    </w:p>
    <w:p w14:paraId="7CBB8192" w14:textId="77777777" w:rsidR="004509C9" w:rsidRDefault="004509C9" w:rsidP="006306A6">
      <w:pPr>
        <w:spacing w:line="290" w:lineRule="auto"/>
        <w:jc w:val="center"/>
        <w:rPr>
          <w:rFonts w:ascii="Calibri" w:hAnsi="Calibri" w:cs="Calibri"/>
          <w:b/>
          <w:bCs/>
          <w:color w:val="00B0F0"/>
          <w:sz w:val="28"/>
          <w:szCs w:val="28"/>
        </w:rPr>
      </w:pPr>
    </w:p>
    <w:p w14:paraId="3D196AD3" w14:textId="77777777" w:rsidR="004509C9" w:rsidRDefault="004509C9" w:rsidP="006306A6">
      <w:pPr>
        <w:spacing w:line="290" w:lineRule="auto"/>
        <w:jc w:val="center"/>
        <w:rPr>
          <w:rFonts w:ascii="Calibri" w:hAnsi="Calibri" w:cs="Calibri"/>
          <w:b/>
          <w:bCs/>
          <w:color w:val="00B0F0"/>
          <w:sz w:val="28"/>
          <w:szCs w:val="28"/>
        </w:rPr>
      </w:pPr>
    </w:p>
    <w:p w14:paraId="66282720" w14:textId="77777777" w:rsidR="004509C9" w:rsidRDefault="004509C9" w:rsidP="006306A6">
      <w:pPr>
        <w:spacing w:line="290" w:lineRule="auto"/>
        <w:jc w:val="center"/>
        <w:rPr>
          <w:rFonts w:ascii="Calibri" w:hAnsi="Calibri" w:cs="Calibri"/>
          <w:b/>
          <w:bCs/>
          <w:color w:val="00B0F0"/>
          <w:sz w:val="28"/>
          <w:szCs w:val="28"/>
        </w:rPr>
      </w:pPr>
    </w:p>
    <w:p w14:paraId="048D7D6E" w14:textId="77777777" w:rsidR="004509C9" w:rsidRDefault="004509C9" w:rsidP="006306A6">
      <w:pPr>
        <w:spacing w:line="290" w:lineRule="auto"/>
        <w:jc w:val="center"/>
        <w:rPr>
          <w:rFonts w:ascii="Calibri" w:hAnsi="Calibri" w:cs="Calibri"/>
          <w:b/>
          <w:bCs/>
          <w:color w:val="00B0F0"/>
          <w:sz w:val="28"/>
          <w:szCs w:val="28"/>
        </w:rPr>
      </w:pPr>
    </w:p>
    <w:p w14:paraId="1411FDDF" w14:textId="77777777" w:rsidR="004509C9" w:rsidRDefault="004509C9" w:rsidP="006306A6">
      <w:pPr>
        <w:spacing w:line="290" w:lineRule="auto"/>
        <w:jc w:val="center"/>
        <w:rPr>
          <w:rFonts w:ascii="Calibri" w:hAnsi="Calibri" w:cs="Calibri"/>
          <w:b/>
          <w:bCs/>
          <w:color w:val="00B0F0"/>
          <w:sz w:val="28"/>
          <w:szCs w:val="28"/>
        </w:rPr>
      </w:pPr>
    </w:p>
    <w:p w14:paraId="2364D3BE" w14:textId="77777777" w:rsidR="004509C9" w:rsidRDefault="004509C9" w:rsidP="006306A6">
      <w:pPr>
        <w:spacing w:line="290" w:lineRule="auto"/>
        <w:jc w:val="center"/>
        <w:rPr>
          <w:rFonts w:ascii="Calibri" w:hAnsi="Calibri" w:cs="Calibri"/>
          <w:b/>
          <w:bCs/>
          <w:color w:val="00B0F0"/>
          <w:sz w:val="28"/>
          <w:szCs w:val="28"/>
        </w:rPr>
      </w:pPr>
    </w:p>
    <w:p w14:paraId="412B1205" w14:textId="77777777" w:rsidR="004509C9" w:rsidRDefault="004509C9" w:rsidP="006306A6">
      <w:pPr>
        <w:spacing w:line="290" w:lineRule="auto"/>
        <w:jc w:val="center"/>
        <w:rPr>
          <w:rFonts w:ascii="Calibri" w:hAnsi="Calibri" w:cs="Calibri"/>
          <w:b/>
          <w:bCs/>
          <w:color w:val="00B0F0"/>
          <w:sz w:val="28"/>
          <w:szCs w:val="28"/>
        </w:rPr>
      </w:pPr>
    </w:p>
    <w:p w14:paraId="57FC004F" w14:textId="77777777" w:rsidR="004509C9" w:rsidRDefault="004509C9" w:rsidP="006306A6">
      <w:pPr>
        <w:spacing w:line="290" w:lineRule="auto"/>
        <w:jc w:val="center"/>
        <w:rPr>
          <w:rFonts w:ascii="Calibri" w:hAnsi="Calibri" w:cs="Calibri"/>
          <w:b/>
          <w:bCs/>
          <w:color w:val="00B0F0"/>
          <w:sz w:val="28"/>
          <w:szCs w:val="28"/>
        </w:rPr>
      </w:pPr>
    </w:p>
    <w:p w14:paraId="3CEA7D41" w14:textId="77777777" w:rsidR="004509C9" w:rsidRDefault="004509C9" w:rsidP="006306A6">
      <w:pPr>
        <w:spacing w:line="290" w:lineRule="auto"/>
        <w:jc w:val="center"/>
        <w:rPr>
          <w:rFonts w:ascii="Calibri" w:hAnsi="Calibri" w:cs="Calibri"/>
          <w:b/>
          <w:bCs/>
          <w:color w:val="00B0F0"/>
          <w:sz w:val="28"/>
          <w:szCs w:val="28"/>
        </w:rPr>
      </w:pPr>
    </w:p>
    <w:p w14:paraId="018F015C" w14:textId="104EE01A" w:rsidR="00FA0EFE" w:rsidRDefault="00FA0EFE" w:rsidP="004509C9">
      <w:pPr>
        <w:spacing w:line="290" w:lineRule="auto"/>
        <w:ind w:left="-709" w:firstLine="709"/>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0AF32A30" w:rsidR="00FA0EFE" w:rsidRPr="00820546" w:rsidRDefault="00FA0EFE" w:rsidP="00FA0EFE">
      <w:pPr>
        <w:spacing w:line="290" w:lineRule="auto"/>
        <w:rPr>
          <w:rFonts w:ascii="Calibri" w:hAnsi="Calibri" w:cs="Calibri"/>
          <w:b/>
          <w:bCs/>
          <w:color w:val="00B0F0"/>
          <w:sz w:val="24"/>
          <w:szCs w:val="24"/>
        </w:rPr>
      </w:pPr>
      <w:r w:rsidRPr="00D87CE5">
        <w:rPr>
          <w:rFonts w:ascii="Calibri" w:hAnsi="Calibri" w:cs="Calibri"/>
          <w:b/>
          <w:bCs/>
          <w:color w:val="00B0F0"/>
          <w:sz w:val="24"/>
          <w:szCs w:val="24"/>
        </w:rPr>
        <w:t>Bijlage 3</w:t>
      </w:r>
      <w:r w:rsidRPr="00742F93">
        <w:rPr>
          <w:rFonts w:ascii="Calibri" w:hAnsi="Calibri" w:cs="Calibri"/>
          <w:b/>
          <w:bCs/>
          <w:color w:val="00B0F0"/>
          <w:sz w:val="24"/>
          <w:szCs w:val="24"/>
        </w:rPr>
        <w:t>: Relevante GIBIT</w:t>
      </w:r>
      <w:r w:rsidR="00742F93">
        <w:rPr>
          <w:rFonts w:ascii="Calibri" w:hAnsi="Calibri" w:cs="Calibri"/>
          <w:b/>
          <w:bCs/>
          <w:color w:val="00B0F0"/>
          <w:sz w:val="24"/>
          <w:szCs w:val="24"/>
        </w:rPr>
        <w:t xml:space="preserve"> </w:t>
      </w:r>
      <w:r w:rsidR="00E0031D" w:rsidRPr="00820546">
        <w:rPr>
          <w:rFonts w:ascii="Calibri" w:hAnsi="Calibri" w:cs="Calibri"/>
          <w:b/>
          <w:bCs/>
          <w:color w:val="00B0F0"/>
          <w:sz w:val="24"/>
          <w:szCs w:val="24"/>
        </w:rPr>
        <w:t xml:space="preserve">2020 </w:t>
      </w:r>
      <w:r w:rsidRPr="00820546">
        <w:rPr>
          <w:rFonts w:ascii="Calibri" w:hAnsi="Calibri" w:cs="Calibri"/>
          <w:b/>
          <w:bCs/>
          <w:color w:val="00B0F0"/>
          <w:sz w:val="24"/>
          <w:szCs w:val="24"/>
        </w:rPr>
        <w:t>artikelen</w:t>
      </w:r>
    </w:p>
    <w:p w14:paraId="6C94913C" w14:textId="77777777" w:rsidR="00FA0EFE" w:rsidRPr="00CE70E8" w:rsidRDefault="00FA0EFE" w:rsidP="00FA0EFE">
      <w:pPr>
        <w:pStyle w:val="Default"/>
        <w:rPr>
          <w:rFonts w:ascii="Calibri" w:hAnsi="Calibri" w:cs="Calibri"/>
        </w:rPr>
      </w:pPr>
    </w:p>
    <w:p w14:paraId="1A94AE00" w14:textId="77777777" w:rsidR="00FA0EFE" w:rsidRPr="00CE70E8" w:rsidRDefault="00FA0EFE" w:rsidP="00FA0EFE">
      <w:pPr>
        <w:pStyle w:val="Default"/>
        <w:rPr>
          <w:rFonts w:ascii="Calibri" w:hAnsi="Calibri" w:cs="Calibri"/>
          <w:b/>
          <w:bCs/>
          <w:sz w:val="23"/>
          <w:szCs w:val="23"/>
        </w:rPr>
      </w:pPr>
      <w:r w:rsidRPr="00CE70E8">
        <w:rPr>
          <w:rFonts w:ascii="Calibri" w:hAnsi="Calibri" w:cs="Calibri"/>
          <w:b/>
          <w:bCs/>
          <w:sz w:val="23"/>
          <w:szCs w:val="23"/>
        </w:rPr>
        <w:t>Artikel 13. Aansprakelijkheid</w:t>
      </w:r>
    </w:p>
    <w:p w14:paraId="54E3EB93"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13.1 De partij die toerekenbaar tekortschiet in de nakoming van zijn verplichtingen, of jegens de ander onrechtmatig handelt, is tegenover de andere partij aansprakelijk voor de door deze aldus geleden en/of te lijden schade. </w:t>
      </w:r>
    </w:p>
    <w:p w14:paraId="46D13B5F"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13.2 Voor zover nakoming niet reeds blijvend onmogelijk is, of de verbintenis voortvloeit uit onrechtmatige daad of strekt tot schadevergoeding, vindt lid 1 slechts toepassing met inachtneming van het bepaalde in artikel 20.9 omtrent verzuim. </w:t>
      </w:r>
    </w:p>
    <w:p w14:paraId="63DF8499"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13.3 De in lid 1 bedoelde aansprakelijkheid voor persoons- en zaakschade en daaruit voortvloeiende schade, is beperkt tot een bedrag van € 1.250.000,– per gebeurtenis. Samenhangende gebeurtenissen worden daarbij aangemerkt als één gebeurtenis. </w:t>
      </w:r>
    </w:p>
    <w:p w14:paraId="10EEE0AA"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13.4 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372D8FA2" w14:textId="77777777" w:rsidR="00FA0EFE" w:rsidRPr="00CE70E8" w:rsidRDefault="00FA0EFE" w:rsidP="00FA0EFE">
      <w:pPr>
        <w:pStyle w:val="Default"/>
        <w:rPr>
          <w:rFonts w:ascii="Calibri" w:hAnsi="Calibri" w:cs="Calibri"/>
          <w:sz w:val="20"/>
          <w:szCs w:val="20"/>
        </w:rPr>
      </w:pPr>
      <w:r w:rsidRPr="00CE70E8">
        <w:rPr>
          <w:rFonts w:ascii="Calibri" w:hAnsi="Calibri" w:cs="Calibri"/>
          <w:sz w:val="20"/>
          <w:szCs w:val="20"/>
        </w:rPr>
        <w:t>13.5 De in dit artikel opgenomen beperkingen van aansprakelijkheid komen te vervallen:</w:t>
      </w:r>
    </w:p>
    <w:p w14:paraId="69EC0454"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 in geval van aanspraken van derden op schadevergoeding ten gevolge van dood of letsel en/of; </w:t>
      </w:r>
    </w:p>
    <w:p w14:paraId="1E6EF97D"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ii) indien sprake is van opzet of grove schuld aan de zijde van de andere partij of diens Personeel; en/of </w:t>
      </w:r>
    </w:p>
    <w:p w14:paraId="2265E443"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iii) in geval van schending van intellectuele eigendomsrechten als bedoeld in artikel 17; </w:t>
      </w:r>
    </w:p>
    <w:p w14:paraId="39F2AC7E"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iv) ten aanzien van door de toezichthoudende autoriteit opgelegde boetes:</w:t>
      </w:r>
    </w:p>
    <w:p w14:paraId="2DD0228F" w14:textId="77777777" w:rsidR="00FA0EFE" w:rsidRPr="00CE70E8" w:rsidRDefault="00FA0EFE" w:rsidP="00FA0EFE">
      <w:pPr>
        <w:pStyle w:val="Default"/>
        <w:numPr>
          <w:ilvl w:val="0"/>
          <w:numId w:val="30"/>
        </w:numPr>
        <w:ind w:left="1040"/>
        <w:rPr>
          <w:rFonts w:ascii="Calibri" w:hAnsi="Calibri" w:cs="Calibri"/>
          <w:sz w:val="20"/>
          <w:szCs w:val="20"/>
        </w:rPr>
      </w:pPr>
      <w:r w:rsidRPr="00CE70E8">
        <w:rPr>
          <w:rFonts w:ascii="Calibri" w:hAnsi="Calibri" w:cs="Calibri"/>
          <w:sz w:val="20"/>
          <w:szCs w:val="20"/>
        </w:rPr>
        <w:t xml:space="preserve">voor zover die boetes ook rechtstreeks aan de Leverancier hadden kunnen worden opgelegd, maar niet zijn opgelegd; en </w:t>
      </w:r>
    </w:p>
    <w:p w14:paraId="24CA980D" w14:textId="77777777" w:rsidR="00FA0EFE" w:rsidRPr="00CE70E8" w:rsidRDefault="00FA0EFE" w:rsidP="00FA0EFE">
      <w:pPr>
        <w:pStyle w:val="Default"/>
        <w:numPr>
          <w:ilvl w:val="0"/>
          <w:numId w:val="30"/>
        </w:numPr>
        <w:ind w:left="1040"/>
        <w:rPr>
          <w:rFonts w:ascii="Calibri" w:hAnsi="Calibri" w:cs="Calibri"/>
          <w:sz w:val="20"/>
          <w:szCs w:val="20"/>
        </w:rPr>
      </w:pPr>
      <w:r w:rsidRPr="00CE70E8">
        <w:rPr>
          <w:rFonts w:ascii="Calibri" w:hAnsi="Calibri" w:cs="Calibri"/>
          <w:sz w:val="20"/>
          <w:szCs w:val="20"/>
        </w:rPr>
        <w:t>onder de voorwaarde dat Opdrachtgever Leverancier:</w:t>
      </w:r>
    </w:p>
    <w:p w14:paraId="0B37E4DF" w14:textId="77777777" w:rsidR="00FA0EFE" w:rsidRPr="00CE70E8" w:rsidRDefault="00FA0EFE" w:rsidP="00FA0EFE">
      <w:pPr>
        <w:pStyle w:val="Default"/>
        <w:numPr>
          <w:ilvl w:val="0"/>
          <w:numId w:val="29"/>
        </w:numPr>
        <w:ind w:left="1380"/>
        <w:rPr>
          <w:rFonts w:ascii="Calibri" w:hAnsi="Calibri" w:cs="Calibri"/>
          <w:sz w:val="20"/>
          <w:szCs w:val="20"/>
        </w:rPr>
      </w:pPr>
      <w:r w:rsidRPr="00CE70E8">
        <w:rPr>
          <w:rFonts w:ascii="Calibri" w:hAnsi="Calibr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CE70E8" w:rsidRDefault="00FA0EFE" w:rsidP="00FA0EFE">
      <w:pPr>
        <w:pStyle w:val="Default"/>
        <w:numPr>
          <w:ilvl w:val="0"/>
          <w:numId w:val="29"/>
        </w:numPr>
        <w:spacing w:after="80"/>
        <w:ind w:left="1380"/>
        <w:rPr>
          <w:rFonts w:ascii="Calibri" w:hAnsi="Calibri" w:cs="Calibri"/>
          <w:sz w:val="20"/>
          <w:szCs w:val="20"/>
        </w:rPr>
      </w:pPr>
      <w:r w:rsidRPr="00CE70E8">
        <w:rPr>
          <w:rFonts w:ascii="Calibri" w:hAnsi="Calibri" w:cs="Calibri"/>
          <w:sz w:val="20"/>
          <w:szCs w:val="20"/>
        </w:rPr>
        <w:t xml:space="preserve">Leverancier volledig betrekt bij het voeren van verweer tegen die boete althans het aan Leverancier toe te rekenen deel van die boete. </w:t>
      </w:r>
    </w:p>
    <w:p w14:paraId="01457A31" w14:textId="77777777" w:rsidR="00FA0EFE" w:rsidRPr="00CE70E8" w:rsidRDefault="00FA0EFE" w:rsidP="00FA0EFE">
      <w:pPr>
        <w:pStyle w:val="Default"/>
        <w:rPr>
          <w:rFonts w:ascii="Calibri" w:hAnsi="Calibri" w:cs="Calibri"/>
          <w:sz w:val="20"/>
          <w:szCs w:val="20"/>
        </w:rPr>
      </w:pPr>
      <w:r w:rsidRPr="00CE70E8">
        <w:rPr>
          <w:rFonts w:ascii="Calibri" w:hAnsi="Calibri" w:cs="Calibri"/>
          <w:sz w:val="20"/>
          <w:szCs w:val="20"/>
        </w:rPr>
        <w:t xml:space="preserve">13.6 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CE70E8" w:rsidRDefault="00FA0EFE" w:rsidP="00FA0EFE">
      <w:pPr>
        <w:rPr>
          <w:rFonts w:ascii="Calibri" w:hAnsi="Calibri" w:cs="Calibri"/>
          <w:sz w:val="20"/>
          <w:szCs w:val="20"/>
        </w:rPr>
      </w:pPr>
    </w:p>
    <w:p w14:paraId="3927DAEB" w14:textId="77777777" w:rsidR="00FA0EFE" w:rsidRPr="00D87CE5" w:rsidRDefault="00FA0EFE" w:rsidP="00FA0EFE">
      <w:pPr>
        <w:widowControl/>
        <w:adjustRightInd w:val="0"/>
        <w:rPr>
          <w:rFonts w:ascii="Calibri" w:eastAsiaTheme="minorHAnsi" w:hAnsi="Calibri" w:cs="Calibri"/>
          <w:color w:val="000000"/>
          <w:sz w:val="23"/>
          <w:szCs w:val="23"/>
          <w:lang w:eastAsia="en-US" w:bidi="ar-SA"/>
        </w:rPr>
      </w:pPr>
      <w:r w:rsidRPr="00D87CE5">
        <w:rPr>
          <w:rFonts w:ascii="Calibri" w:eastAsiaTheme="minorHAnsi" w:hAnsi="Calibri" w:cs="Calibri"/>
          <w:b/>
          <w:bCs/>
          <w:color w:val="000000"/>
          <w:sz w:val="23"/>
          <w:szCs w:val="23"/>
          <w:lang w:eastAsia="en-US" w:bidi="ar-SA"/>
        </w:rPr>
        <w:t xml:space="preserve">Artikel 20. Opschorting, opzegging en ontbinding </w:t>
      </w:r>
    </w:p>
    <w:p w14:paraId="49064023" w14:textId="77777777" w:rsidR="00FA0EFE" w:rsidRPr="008C79A2" w:rsidRDefault="00FA0EFE" w:rsidP="00FA0EFE">
      <w:pPr>
        <w:spacing w:line="290" w:lineRule="auto"/>
        <w:rPr>
          <w:rFonts w:ascii="Calibri" w:hAnsi="Calibri" w:cs="Calibri"/>
          <w:sz w:val="20"/>
          <w:szCs w:val="20"/>
        </w:rPr>
      </w:pPr>
      <w:r w:rsidRPr="008C79A2">
        <w:rPr>
          <w:rFonts w:ascii="Calibri" w:eastAsiaTheme="minorHAnsi" w:hAnsi="Calibri" w:cs="Calibri"/>
          <w:color w:val="000000"/>
          <w:sz w:val="20"/>
          <w:szCs w:val="20"/>
          <w:lang w:eastAsia="en-US" w:bidi="ar-SA"/>
        </w:rPr>
        <w:t>Gevolgen van beëindiging</w:t>
      </w:r>
    </w:p>
    <w:p w14:paraId="0FD7659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20.14 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55613AC1"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0E17E358" w14:textId="77777777" w:rsidR="00FA0EFE" w:rsidRPr="00D87CE5" w:rsidRDefault="00FA0EFE" w:rsidP="006306A6">
      <w:pPr>
        <w:widowControl/>
        <w:adjustRightInd w:val="0"/>
        <w:rPr>
          <w:rFonts w:ascii="Calibri" w:eastAsiaTheme="minorHAnsi" w:hAnsi="Calibri" w:cs="Calibri"/>
          <w:color w:val="000000"/>
          <w:sz w:val="23"/>
          <w:szCs w:val="23"/>
          <w:lang w:eastAsia="en-US" w:bidi="ar-SA"/>
        </w:rPr>
      </w:pPr>
      <w:r w:rsidRPr="00D87CE5">
        <w:rPr>
          <w:rFonts w:ascii="Calibri" w:eastAsiaTheme="minorHAnsi" w:hAnsi="Calibri" w:cs="Calibri"/>
          <w:b/>
          <w:bCs/>
          <w:color w:val="000000"/>
          <w:sz w:val="23"/>
          <w:szCs w:val="23"/>
          <w:lang w:eastAsia="en-US" w:bidi="ar-SA"/>
        </w:rPr>
        <w:t xml:space="preserve">Artikel 22. Overstap, beperkte voortzetting, overdracht en verlengd gebruik </w:t>
      </w:r>
    </w:p>
    <w:p w14:paraId="457969A8" w14:textId="77777777" w:rsidR="00FA0EFE" w:rsidRPr="002A2757" w:rsidRDefault="00FA0EFE" w:rsidP="00FA0EFE">
      <w:pPr>
        <w:spacing w:line="290" w:lineRule="auto"/>
        <w:rPr>
          <w:rFonts w:ascii="Calibri" w:hAnsi="Calibri" w:cs="Calibri"/>
          <w:sz w:val="20"/>
          <w:szCs w:val="20"/>
        </w:rPr>
      </w:pPr>
      <w:r w:rsidRPr="00D87CE5">
        <w:rPr>
          <w:rFonts w:ascii="Calibri" w:eastAsiaTheme="minorHAnsi" w:hAnsi="Calibri" w:cs="Calibri"/>
          <w:color w:val="000000"/>
          <w:sz w:val="20"/>
          <w:szCs w:val="20"/>
          <w:lang w:eastAsia="en-US" w:bidi="ar-SA"/>
        </w:rPr>
        <w:t>Exit-plan</w:t>
      </w:r>
    </w:p>
    <w:p w14:paraId="5DD71ED5"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22.1 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20C6B230"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22.2 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01AEA8FE"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2495CBAD"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lastRenderedPageBreak/>
        <w:t xml:space="preserve">Overstap naar soortgelijke ICT Prestatie </w:t>
      </w:r>
    </w:p>
    <w:p w14:paraId="21B3768E"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22.3 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CD7F3BC"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22.4 Onder de in het vorige lid bedoelde redelijke maatregelen in het kader van de overstap naar een andere leverancier/ander systeem worden in ieder geval verstaan (naar keuze van Opdrachtgever):</w:t>
      </w:r>
    </w:p>
    <w:p w14:paraId="03AE5E73"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het alsnog aan de verplichtingen uit </w:t>
      </w:r>
      <w:r w:rsidRPr="006248A5">
        <w:rPr>
          <w:rFonts w:ascii="Calibri" w:eastAsiaTheme="minorHAnsi" w:hAnsi="Calibri" w:cs="Calibri"/>
          <w:color w:val="000000"/>
          <w:sz w:val="20"/>
          <w:szCs w:val="20"/>
          <w:highlight w:val="yellow"/>
          <w:lang w:eastAsia="en-US" w:bidi="ar-SA"/>
        </w:rPr>
        <w:t xml:space="preserve">artikel </w:t>
      </w:r>
      <w:commentRangeStart w:id="22"/>
      <w:r w:rsidRPr="006248A5">
        <w:rPr>
          <w:rFonts w:ascii="Calibri" w:eastAsiaTheme="minorHAnsi" w:hAnsi="Calibri" w:cs="Calibri"/>
          <w:color w:val="000000"/>
          <w:sz w:val="20"/>
          <w:szCs w:val="20"/>
          <w:highlight w:val="yellow"/>
          <w:lang w:eastAsia="en-US" w:bidi="ar-SA"/>
        </w:rPr>
        <w:t>18</w:t>
      </w:r>
      <w:commentRangeEnd w:id="22"/>
      <w:r w:rsidR="006248A5">
        <w:rPr>
          <w:rStyle w:val="Verwijzingopmerking"/>
        </w:rPr>
        <w:commentReference w:id="22"/>
      </w:r>
      <w:r w:rsidRPr="00D87CE5">
        <w:rPr>
          <w:rFonts w:ascii="Calibri" w:eastAsiaTheme="minorHAnsi" w:hAnsi="Calibri" w:cs="Calibri"/>
          <w:color w:val="000000"/>
          <w:sz w:val="20"/>
          <w:szCs w:val="20"/>
          <w:lang w:eastAsia="en-US" w:bidi="ar-SA"/>
        </w:rPr>
        <w:t xml:space="preserve"> voldoen; </w:t>
      </w:r>
    </w:p>
    <w:p w14:paraId="536A0BA9"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het vernietigen van de gegevens waarvoor Opdrachtgever verantwoordelijk is (tegen afgifte van bewijs van vernietiging); </w:t>
      </w:r>
    </w:p>
    <w:p w14:paraId="264E40D7" w14:textId="77777777" w:rsidR="00FA0EFE" w:rsidRPr="00D87CE5" w:rsidRDefault="00FA0EFE" w:rsidP="00FA0EFE">
      <w:pPr>
        <w:widowControl/>
        <w:adjustRightInd w:val="0"/>
        <w:spacing w:after="8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iii) het technisch ontvlechten en ontmantelen van (een deel van) de ICT Presentatie </w:t>
      </w:r>
    </w:p>
    <w:p w14:paraId="231A47E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22.5 In afwijking van artikel 22.2 worden voornoemde diensten kosteloos verricht indien sprake is van een toerekenbaar tekortschieten door Leverancier. De onder sub 22.4ii) bedoelde werkzaamheden worden op verzoek hoe dan ook kosteloos verricht. </w:t>
      </w:r>
    </w:p>
    <w:p w14:paraId="424553EA"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78B1208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Beperkte voortzetting van ICT Prestatie</w:t>
      </w:r>
    </w:p>
    <w:p w14:paraId="3E39EA28" w14:textId="32C35E32" w:rsidR="00FA0EFE" w:rsidRPr="00D87CE5" w:rsidRDefault="00FA0EFE" w:rsidP="00847B4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22.6 Leverancier verklaart zich reeds nu voor alsdan bereid bij beëindiging van de Overeenkomst(en) </w:t>
      </w:r>
      <w:r w:rsidR="00847B4E">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op welke grond dan ook </w:t>
      </w:r>
      <w:r w:rsidR="00847B4E">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op eerste verzoek van Opdrachtgever:</w:t>
      </w:r>
    </w:p>
    <w:p w14:paraId="4ED8D7F9"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een nieuwe ICT Prestatie of beperkte voortzetting van de bestaande ICT Prestatie te leveren waarmee Opdrachtgever in staat blijft de met de huidige ICT Prestatie opgeslagen gegevens te raadplegen; en </w:t>
      </w:r>
    </w:p>
    <w:p w14:paraId="6FE24452" w14:textId="77777777" w:rsidR="00FA0EFE" w:rsidRPr="00D87CE5" w:rsidRDefault="00FA0EFE" w:rsidP="00FA0EFE">
      <w:pPr>
        <w:widowControl/>
        <w:adjustRightInd w:val="0"/>
        <w:spacing w:after="8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een beperkte vorm van Onderhoud te (blijven) verlenen op de in het vorige lid bedoelde ICT Prestatie (namelijk binnen de kaders van de in het vorige lid bedoelde beperkte functionaliteit). </w:t>
      </w:r>
    </w:p>
    <w:p w14:paraId="5663E7F6"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22.7 Voor de duur en kosten voor de in het vorige lid bedoelde ICT Prestatie geldt dat:</w:t>
      </w:r>
    </w:p>
    <w:p w14:paraId="51C6B10B"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de duur ten minste een zodanige duur is dat Opdrachtgever aan de wettelijke administratieplichten kan voldoen; </w:t>
      </w:r>
    </w:p>
    <w:p w14:paraId="4E82C352"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de kosten voor in redelijke verhouding staan tot de oorspronkelijke kosten voor de gehele ICT Prestatie (naar rato van de verminderde functionaliteit), met dien verstande dat noodzakelijke verlengingen van Derdenprogrammatuur volledig kunnen worden doorbelast. </w:t>
      </w:r>
    </w:p>
    <w:p w14:paraId="098BEFD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587CD6C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Overdracht ICT Prestatie </w:t>
      </w:r>
    </w:p>
    <w:p w14:paraId="4848A207" w14:textId="77777777" w:rsidR="00FA0EFE"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22.8 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19.5).</w:t>
      </w:r>
    </w:p>
    <w:p w14:paraId="257CCB8C"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3F998E01"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Verlengd gebruik</w:t>
      </w:r>
    </w:p>
    <w:p w14:paraId="00E9958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22.9 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1C1A3BBB"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357226B0" w14:textId="77777777" w:rsidR="00FA0EFE" w:rsidRDefault="00FA0EFE" w:rsidP="00FA0EFE">
      <w:pPr>
        <w:widowControl/>
        <w:adjustRightInd w:val="0"/>
        <w:rPr>
          <w:rFonts w:ascii="Calibri" w:eastAsiaTheme="minorHAnsi" w:hAnsi="Calibri" w:cs="Calibri"/>
          <w:b/>
          <w:bCs/>
          <w:color w:val="000000"/>
          <w:sz w:val="23"/>
          <w:szCs w:val="23"/>
          <w:lang w:eastAsia="en-US" w:bidi="ar-SA"/>
        </w:rPr>
      </w:pPr>
      <w:r w:rsidRPr="00D87CE5">
        <w:rPr>
          <w:rFonts w:ascii="Calibri" w:eastAsiaTheme="minorHAnsi" w:hAnsi="Calibri" w:cs="Calibri"/>
          <w:b/>
          <w:bCs/>
          <w:color w:val="000000"/>
          <w:sz w:val="23"/>
          <w:szCs w:val="23"/>
          <w:lang w:eastAsia="en-US" w:bidi="ar-SA"/>
        </w:rPr>
        <w:t>Artikel 21. Controlerecht en medewerking audits bij Opdrachtgeve</w:t>
      </w:r>
      <w:r>
        <w:rPr>
          <w:rFonts w:ascii="Calibri" w:eastAsiaTheme="minorHAnsi" w:hAnsi="Calibri" w:cs="Calibri"/>
          <w:b/>
          <w:bCs/>
          <w:color w:val="000000"/>
          <w:sz w:val="23"/>
          <w:szCs w:val="23"/>
          <w:lang w:eastAsia="en-US" w:bidi="ar-SA"/>
        </w:rPr>
        <w:t>r</w:t>
      </w:r>
    </w:p>
    <w:p w14:paraId="7743044A" w14:textId="77777777" w:rsidR="00FA0EFE" w:rsidRPr="008C79A2" w:rsidRDefault="00FA0EFE" w:rsidP="00FA0EFE">
      <w:pPr>
        <w:widowControl/>
        <w:adjustRightInd w:val="0"/>
        <w:rPr>
          <w:rFonts w:ascii="Calibri" w:eastAsiaTheme="minorHAnsi" w:hAnsi="Calibri" w:cs="Calibri"/>
          <w:color w:val="000000"/>
          <w:sz w:val="20"/>
          <w:szCs w:val="20"/>
          <w:lang w:eastAsia="en-US" w:bidi="ar-SA"/>
        </w:rPr>
      </w:pPr>
      <w:r w:rsidRPr="008C79A2">
        <w:rPr>
          <w:rFonts w:ascii="Calibri" w:eastAsiaTheme="minorHAnsi" w:hAnsi="Calibri" w:cs="Calibri"/>
          <w:color w:val="000000"/>
          <w:sz w:val="20"/>
          <w:szCs w:val="20"/>
          <w:lang w:eastAsia="en-US" w:bidi="ar-SA"/>
        </w:rPr>
        <w:t xml:space="preserve">Controlerecht </w:t>
      </w:r>
    </w:p>
    <w:p w14:paraId="61088504"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21.1 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1EE3C74B"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21.2 Opdrachtgever zal alvorens een controle te doen verrichten eerst Leverancier om de op grond van het vorige lid noodzakelijke informatie vragen. </w:t>
      </w:r>
    </w:p>
    <w:p w14:paraId="23613DBF"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lastRenderedPageBreak/>
        <w:t xml:space="preserve">21.3 De controle zal alleen plaatsvinden indien Opdrachtgever </w:t>
      </w:r>
      <w:r>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ook na beantwoording van het in het vorige lid bedoelde verzoek om informatie </w:t>
      </w:r>
      <w:r>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gerede twijfel heeft over de nakoming van de verplichtingen door Leverancier, of indien Opdrachtgever anderszins een gerechtvaardigd belang bij de controle heeft (o.m. wettelijke plicht, instructie toezichthouder). </w:t>
      </w:r>
    </w:p>
    <w:p w14:paraId="648A9663"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21.4 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33B8312D"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21.5 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3C4363B0"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21.6 De kosten voor deze controle worden gedragen door Opdrachtgever (zowel eigen kosten als kosten van de Leverancier), tenzij de derde één of meer tekortkomingen van niet ondergeschikte aard van Leverancier constateert die ten nadele zijn van Opdrachtgever. </w:t>
      </w:r>
    </w:p>
    <w:p w14:paraId="005436B3" w14:textId="77777777" w:rsidR="00FA0EFE" w:rsidRDefault="00FA0EFE" w:rsidP="00FA0EFE">
      <w:pPr>
        <w:widowControl/>
        <w:adjustRightInd w:val="0"/>
        <w:rPr>
          <w:rFonts w:ascii="Calibri" w:eastAsiaTheme="minorHAnsi" w:hAnsi="Calibri" w:cs="Calibri"/>
          <w:color w:val="000000"/>
          <w:sz w:val="20"/>
          <w:szCs w:val="20"/>
          <w:lang w:eastAsia="en-US" w:bidi="ar-SA"/>
        </w:rPr>
      </w:pPr>
    </w:p>
    <w:p w14:paraId="39C329C0" w14:textId="77777777" w:rsidR="00FA0EFE" w:rsidRPr="008C79A2" w:rsidRDefault="00FA0EFE" w:rsidP="00FA0EFE">
      <w:pPr>
        <w:widowControl/>
        <w:adjustRightInd w:val="0"/>
        <w:rPr>
          <w:rFonts w:ascii="Calibri" w:hAnsi="Calibri" w:cs="Calibri"/>
          <w:sz w:val="20"/>
          <w:szCs w:val="20"/>
        </w:rPr>
      </w:pPr>
      <w:r w:rsidRPr="008C79A2">
        <w:rPr>
          <w:rFonts w:ascii="Calibri" w:eastAsiaTheme="minorHAnsi" w:hAnsi="Calibri" w:cs="Calibri"/>
          <w:color w:val="000000"/>
          <w:sz w:val="20"/>
          <w:szCs w:val="20"/>
          <w:lang w:eastAsia="en-US" w:bidi="ar-SA"/>
        </w:rPr>
        <w:t>Medewerking audits bij Opdrachtgever</w:t>
      </w:r>
    </w:p>
    <w:p w14:paraId="0F25717D"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21.7 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2A7F75E5" w14:textId="77777777" w:rsidR="00FA0EFE" w:rsidRPr="00D87CE5" w:rsidRDefault="00FA0EFE" w:rsidP="00FA0EFE">
      <w:pPr>
        <w:widowControl/>
        <w:adjustRightInd w:val="0"/>
        <w:rPr>
          <w:rFonts w:ascii="Calibri" w:hAnsi="Calibri" w:cs="Calibri"/>
          <w:sz w:val="20"/>
          <w:szCs w:val="20"/>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8040D0">
      <w:pgSz w:w="11910" w:h="16840" w:code="9"/>
      <w:pgMar w:top="1560" w:right="1418" w:bottom="1418" w:left="1418" w:header="0" w:footer="476"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2" w:author="Auteur" w:initials="A">
    <w:p w14:paraId="2F8B744E" w14:textId="44507CA2" w:rsidR="006248A5" w:rsidRDefault="006248A5">
      <w:pPr>
        <w:pStyle w:val="Tekstopmerking"/>
      </w:pPr>
      <w:r>
        <w:rPr>
          <w:rStyle w:val="Verwijzingopmerking"/>
        </w:rPr>
        <w:annotationRef/>
      </w:r>
      <w:r>
        <w:t>Art 18 hier opnemen indien van toepassing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F8B74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F8B744E" w16cid:durableId="25ACB1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0AF65" w14:textId="77777777" w:rsidR="00FD2CD6" w:rsidRDefault="00FD2CD6">
      <w:r>
        <w:separator/>
      </w:r>
    </w:p>
  </w:endnote>
  <w:endnote w:type="continuationSeparator" w:id="0">
    <w:p w14:paraId="36FC15B7" w14:textId="77777777" w:rsidR="00FD2CD6" w:rsidRDefault="00FD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E61402" w:rsidRPr="00F970C9" w:rsidRDefault="00E61402"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5CE6AFCC" w:rsidR="00E61402" w:rsidRPr="00363301" w:rsidRDefault="00E61402" w:rsidP="00F970C9">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uitvoering </w:t>
    </w:r>
    <w:r w:rsidR="002060FA">
      <w:rPr>
        <w:rFonts w:asciiTheme="minorHAnsi" w:hAnsiTheme="minorHAnsi"/>
        <w:sz w:val="18"/>
        <w:szCs w:val="18"/>
      </w:rPr>
      <w:t>Constructieve toetsing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58E8B" w14:textId="77777777" w:rsidR="00FD2CD6" w:rsidRDefault="00FD2CD6">
      <w:r>
        <w:separator/>
      </w:r>
    </w:p>
  </w:footnote>
  <w:footnote w:type="continuationSeparator" w:id="0">
    <w:p w14:paraId="65E948BA" w14:textId="77777777" w:rsidR="00FD2CD6" w:rsidRDefault="00FD2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89742967">
    <w:abstractNumId w:val="4"/>
  </w:num>
  <w:num w:numId="2" w16cid:durableId="776876932">
    <w:abstractNumId w:val="17"/>
  </w:num>
  <w:num w:numId="3" w16cid:durableId="48652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2445462">
    <w:abstractNumId w:val="20"/>
  </w:num>
  <w:num w:numId="5" w16cid:durableId="1674995033">
    <w:abstractNumId w:val="9"/>
  </w:num>
  <w:num w:numId="6" w16cid:durableId="377020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2169457">
    <w:abstractNumId w:val="6"/>
  </w:num>
  <w:num w:numId="8" w16cid:durableId="1628968823">
    <w:abstractNumId w:val="16"/>
  </w:num>
  <w:num w:numId="9" w16cid:durableId="568347886">
    <w:abstractNumId w:val="15"/>
  </w:num>
  <w:num w:numId="10" w16cid:durableId="573709826">
    <w:abstractNumId w:val="11"/>
  </w:num>
  <w:num w:numId="11" w16cid:durableId="72425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6718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37382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36049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09821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59210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2004953">
    <w:abstractNumId w:val="7"/>
  </w:num>
  <w:num w:numId="18" w16cid:durableId="608512701">
    <w:abstractNumId w:val="14"/>
  </w:num>
  <w:num w:numId="19" w16cid:durableId="644433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6638212">
    <w:abstractNumId w:val="0"/>
  </w:num>
  <w:num w:numId="21" w16cid:durableId="488056116">
    <w:abstractNumId w:val="18"/>
  </w:num>
  <w:num w:numId="22" w16cid:durableId="841972311">
    <w:abstractNumId w:val="19"/>
  </w:num>
  <w:num w:numId="23" w16cid:durableId="670106581">
    <w:abstractNumId w:val="10"/>
  </w:num>
  <w:num w:numId="24" w16cid:durableId="61679522">
    <w:abstractNumId w:val="5"/>
  </w:num>
  <w:num w:numId="25" w16cid:durableId="2139832393">
    <w:abstractNumId w:val="17"/>
  </w:num>
  <w:num w:numId="26" w16cid:durableId="1523591459">
    <w:abstractNumId w:val="17"/>
  </w:num>
  <w:num w:numId="27" w16cid:durableId="1155803687">
    <w:abstractNumId w:val="3"/>
  </w:num>
  <w:num w:numId="28" w16cid:durableId="321012585">
    <w:abstractNumId w:val="2"/>
  </w:num>
  <w:num w:numId="29" w16cid:durableId="997271104">
    <w:abstractNumId w:val="13"/>
  </w:num>
  <w:num w:numId="30" w16cid:durableId="404032940">
    <w:abstractNumId w:val="12"/>
  </w:num>
  <w:num w:numId="31" w16cid:durableId="424618608">
    <w:abstractNumId w:val="8"/>
  </w:num>
  <w:num w:numId="32" w16cid:durableId="208286864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871EB"/>
    <w:rsid w:val="000956E8"/>
    <w:rsid w:val="0009679E"/>
    <w:rsid w:val="000A7754"/>
    <w:rsid w:val="000B2777"/>
    <w:rsid w:val="000B62A8"/>
    <w:rsid w:val="000C2E8C"/>
    <w:rsid w:val="000C300E"/>
    <w:rsid w:val="000C5626"/>
    <w:rsid w:val="000D2608"/>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2019E7"/>
    <w:rsid w:val="00202C0A"/>
    <w:rsid w:val="002060FA"/>
    <w:rsid w:val="00206DE7"/>
    <w:rsid w:val="002216F1"/>
    <w:rsid w:val="00224F09"/>
    <w:rsid w:val="00232B1B"/>
    <w:rsid w:val="002353BC"/>
    <w:rsid w:val="00235A14"/>
    <w:rsid w:val="00236271"/>
    <w:rsid w:val="00242EB0"/>
    <w:rsid w:val="00245E25"/>
    <w:rsid w:val="002507F7"/>
    <w:rsid w:val="0025750A"/>
    <w:rsid w:val="00273192"/>
    <w:rsid w:val="00274ED4"/>
    <w:rsid w:val="0028199B"/>
    <w:rsid w:val="00283312"/>
    <w:rsid w:val="00291912"/>
    <w:rsid w:val="00292631"/>
    <w:rsid w:val="00292E36"/>
    <w:rsid w:val="002A539A"/>
    <w:rsid w:val="002B7520"/>
    <w:rsid w:val="002B7F2A"/>
    <w:rsid w:val="002C06AA"/>
    <w:rsid w:val="002C1BDB"/>
    <w:rsid w:val="002C4CE3"/>
    <w:rsid w:val="002C66FC"/>
    <w:rsid w:val="002D1740"/>
    <w:rsid w:val="002D318B"/>
    <w:rsid w:val="002D7893"/>
    <w:rsid w:val="002D79EE"/>
    <w:rsid w:val="002D7FDD"/>
    <w:rsid w:val="002E0547"/>
    <w:rsid w:val="002E1292"/>
    <w:rsid w:val="002E2F19"/>
    <w:rsid w:val="002F0163"/>
    <w:rsid w:val="002F5646"/>
    <w:rsid w:val="00300DF5"/>
    <w:rsid w:val="003068DC"/>
    <w:rsid w:val="00316650"/>
    <w:rsid w:val="003234F3"/>
    <w:rsid w:val="003313F7"/>
    <w:rsid w:val="003336CA"/>
    <w:rsid w:val="00336F6F"/>
    <w:rsid w:val="00337E86"/>
    <w:rsid w:val="0034168A"/>
    <w:rsid w:val="00341AFA"/>
    <w:rsid w:val="00343113"/>
    <w:rsid w:val="003478B0"/>
    <w:rsid w:val="00354C71"/>
    <w:rsid w:val="003613FE"/>
    <w:rsid w:val="003614B4"/>
    <w:rsid w:val="003630A5"/>
    <w:rsid w:val="00363301"/>
    <w:rsid w:val="003639C4"/>
    <w:rsid w:val="00374BB4"/>
    <w:rsid w:val="00375B21"/>
    <w:rsid w:val="003776A1"/>
    <w:rsid w:val="00381F38"/>
    <w:rsid w:val="00383D08"/>
    <w:rsid w:val="0039309C"/>
    <w:rsid w:val="003A36BA"/>
    <w:rsid w:val="003A591D"/>
    <w:rsid w:val="003B42DF"/>
    <w:rsid w:val="003B6305"/>
    <w:rsid w:val="003C25E5"/>
    <w:rsid w:val="003C295A"/>
    <w:rsid w:val="003C30F0"/>
    <w:rsid w:val="003C6402"/>
    <w:rsid w:val="003C7F38"/>
    <w:rsid w:val="003D19C8"/>
    <w:rsid w:val="003E4414"/>
    <w:rsid w:val="003E4C15"/>
    <w:rsid w:val="003E79DD"/>
    <w:rsid w:val="003E7FE5"/>
    <w:rsid w:val="003F4604"/>
    <w:rsid w:val="003F7E35"/>
    <w:rsid w:val="00401D27"/>
    <w:rsid w:val="0040439B"/>
    <w:rsid w:val="00412487"/>
    <w:rsid w:val="004131FC"/>
    <w:rsid w:val="00415745"/>
    <w:rsid w:val="00425789"/>
    <w:rsid w:val="00426680"/>
    <w:rsid w:val="004302B2"/>
    <w:rsid w:val="00430F06"/>
    <w:rsid w:val="004333D0"/>
    <w:rsid w:val="00437E57"/>
    <w:rsid w:val="0044787F"/>
    <w:rsid w:val="004509C9"/>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53D0"/>
    <w:rsid w:val="00525B8D"/>
    <w:rsid w:val="00526DB3"/>
    <w:rsid w:val="00527D57"/>
    <w:rsid w:val="00531898"/>
    <w:rsid w:val="005319F5"/>
    <w:rsid w:val="0053559E"/>
    <w:rsid w:val="00536332"/>
    <w:rsid w:val="005363AA"/>
    <w:rsid w:val="0054259D"/>
    <w:rsid w:val="00546DCC"/>
    <w:rsid w:val="00547810"/>
    <w:rsid w:val="00547DB9"/>
    <w:rsid w:val="00555DC3"/>
    <w:rsid w:val="00557774"/>
    <w:rsid w:val="00560CDA"/>
    <w:rsid w:val="00562FFF"/>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48A5"/>
    <w:rsid w:val="00627DE0"/>
    <w:rsid w:val="006306A6"/>
    <w:rsid w:val="006313AD"/>
    <w:rsid w:val="0063140C"/>
    <w:rsid w:val="00637A19"/>
    <w:rsid w:val="0064267C"/>
    <w:rsid w:val="006533F9"/>
    <w:rsid w:val="00656029"/>
    <w:rsid w:val="00656E9A"/>
    <w:rsid w:val="00662A4F"/>
    <w:rsid w:val="00662CFE"/>
    <w:rsid w:val="00664E63"/>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23886"/>
    <w:rsid w:val="00731D9E"/>
    <w:rsid w:val="00735340"/>
    <w:rsid w:val="007364BF"/>
    <w:rsid w:val="00736834"/>
    <w:rsid w:val="00737F82"/>
    <w:rsid w:val="00742F93"/>
    <w:rsid w:val="00744B2F"/>
    <w:rsid w:val="00746022"/>
    <w:rsid w:val="007469DA"/>
    <w:rsid w:val="00751726"/>
    <w:rsid w:val="0076385F"/>
    <w:rsid w:val="007644C0"/>
    <w:rsid w:val="007650A4"/>
    <w:rsid w:val="0077250A"/>
    <w:rsid w:val="00786372"/>
    <w:rsid w:val="0078746A"/>
    <w:rsid w:val="00787B76"/>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5729"/>
    <w:rsid w:val="007E65B3"/>
    <w:rsid w:val="007F43ED"/>
    <w:rsid w:val="007F6C97"/>
    <w:rsid w:val="00802B63"/>
    <w:rsid w:val="00802C94"/>
    <w:rsid w:val="008040D0"/>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44FFD"/>
    <w:rsid w:val="00946112"/>
    <w:rsid w:val="0095110B"/>
    <w:rsid w:val="009515F0"/>
    <w:rsid w:val="0095471D"/>
    <w:rsid w:val="00954B48"/>
    <w:rsid w:val="009554FA"/>
    <w:rsid w:val="00957DFE"/>
    <w:rsid w:val="00961A7F"/>
    <w:rsid w:val="00962826"/>
    <w:rsid w:val="00964BA7"/>
    <w:rsid w:val="00965613"/>
    <w:rsid w:val="0097476B"/>
    <w:rsid w:val="0097713D"/>
    <w:rsid w:val="00977EF4"/>
    <w:rsid w:val="009871BC"/>
    <w:rsid w:val="00996CD9"/>
    <w:rsid w:val="00997FBA"/>
    <w:rsid w:val="009A7FF0"/>
    <w:rsid w:val="009B0214"/>
    <w:rsid w:val="009B6A94"/>
    <w:rsid w:val="009C160E"/>
    <w:rsid w:val="009C36E8"/>
    <w:rsid w:val="009C61B5"/>
    <w:rsid w:val="009D1081"/>
    <w:rsid w:val="009D332D"/>
    <w:rsid w:val="009D753C"/>
    <w:rsid w:val="009E3FB6"/>
    <w:rsid w:val="009E465B"/>
    <w:rsid w:val="009E7145"/>
    <w:rsid w:val="009E71C6"/>
    <w:rsid w:val="009E7B37"/>
    <w:rsid w:val="009F1156"/>
    <w:rsid w:val="009F1902"/>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6DD0"/>
    <w:rsid w:val="00B202B2"/>
    <w:rsid w:val="00B24F08"/>
    <w:rsid w:val="00B2789E"/>
    <w:rsid w:val="00B36EC8"/>
    <w:rsid w:val="00B461FF"/>
    <w:rsid w:val="00B50071"/>
    <w:rsid w:val="00B50AAE"/>
    <w:rsid w:val="00B6071A"/>
    <w:rsid w:val="00B6487E"/>
    <w:rsid w:val="00B700F5"/>
    <w:rsid w:val="00B767C3"/>
    <w:rsid w:val="00B8599B"/>
    <w:rsid w:val="00B90F49"/>
    <w:rsid w:val="00B92F7D"/>
    <w:rsid w:val="00B95BA7"/>
    <w:rsid w:val="00B978E3"/>
    <w:rsid w:val="00BA3352"/>
    <w:rsid w:val="00BA37BA"/>
    <w:rsid w:val="00BA5F3D"/>
    <w:rsid w:val="00BC317D"/>
    <w:rsid w:val="00BC3F32"/>
    <w:rsid w:val="00BD1179"/>
    <w:rsid w:val="00BD2D4B"/>
    <w:rsid w:val="00BD4746"/>
    <w:rsid w:val="00BE7DD3"/>
    <w:rsid w:val="00BF02BD"/>
    <w:rsid w:val="00BF0F9C"/>
    <w:rsid w:val="00BF4CF9"/>
    <w:rsid w:val="00C10A6B"/>
    <w:rsid w:val="00C115AB"/>
    <w:rsid w:val="00C1433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81082"/>
    <w:rsid w:val="00C83B87"/>
    <w:rsid w:val="00C92BEE"/>
    <w:rsid w:val="00CA158F"/>
    <w:rsid w:val="00CA6BC5"/>
    <w:rsid w:val="00CA746E"/>
    <w:rsid w:val="00CB0A09"/>
    <w:rsid w:val="00CC4CF9"/>
    <w:rsid w:val="00CD2707"/>
    <w:rsid w:val="00CE29FD"/>
    <w:rsid w:val="00CE4975"/>
    <w:rsid w:val="00CE7170"/>
    <w:rsid w:val="00CE7394"/>
    <w:rsid w:val="00CF17F9"/>
    <w:rsid w:val="00CF19E5"/>
    <w:rsid w:val="00CF1FD8"/>
    <w:rsid w:val="00CF556B"/>
    <w:rsid w:val="00D03F76"/>
    <w:rsid w:val="00D06AE3"/>
    <w:rsid w:val="00D10C8E"/>
    <w:rsid w:val="00D16412"/>
    <w:rsid w:val="00D22454"/>
    <w:rsid w:val="00D3275B"/>
    <w:rsid w:val="00D33A83"/>
    <w:rsid w:val="00D356B3"/>
    <w:rsid w:val="00D43CEB"/>
    <w:rsid w:val="00D443E6"/>
    <w:rsid w:val="00D4614A"/>
    <w:rsid w:val="00D46BB4"/>
    <w:rsid w:val="00D47028"/>
    <w:rsid w:val="00D5123C"/>
    <w:rsid w:val="00D55578"/>
    <w:rsid w:val="00D575FB"/>
    <w:rsid w:val="00D57B1B"/>
    <w:rsid w:val="00D62A40"/>
    <w:rsid w:val="00D64523"/>
    <w:rsid w:val="00D66240"/>
    <w:rsid w:val="00D662A7"/>
    <w:rsid w:val="00D84A24"/>
    <w:rsid w:val="00D9012B"/>
    <w:rsid w:val="00DA012A"/>
    <w:rsid w:val="00DA0C58"/>
    <w:rsid w:val="00DA39B0"/>
    <w:rsid w:val="00DB1009"/>
    <w:rsid w:val="00DB2B84"/>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10D"/>
    <w:rsid w:val="00EE4846"/>
    <w:rsid w:val="00EE5432"/>
    <w:rsid w:val="00EE68E6"/>
    <w:rsid w:val="00EE7807"/>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931B97"/>
  <w15:docId w15:val="{B86F29FC-ADC3-46DE-8719-744A37A0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63301"/>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63301"/>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48891810">
      <w:bodyDiv w:val="1"/>
      <w:marLeft w:val="0"/>
      <w:marRight w:val="0"/>
      <w:marTop w:val="0"/>
      <w:marBottom w:val="0"/>
      <w:divBdr>
        <w:top w:val="none" w:sz="0" w:space="0" w:color="auto"/>
        <w:left w:val="none" w:sz="0" w:space="0" w:color="auto"/>
        <w:bottom w:val="none" w:sz="0" w:space="0" w:color="auto"/>
        <w:right w:val="none" w:sz="0" w:space="0" w:color="auto"/>
      </w:divBdr>
    </w:div>
    <w:div w:id="857499118">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09305564">
      <w:bodyDiv w:val="1"/>
      <w:marLeft w:val="0"/>
      <w:marRight w:val="0"/>
      <w:marTop w:val="0"/>
      <w:marBottom w:val="0"/>
      <w:divBdr>
        <w:top w:val="none" w:sz="0" w:space="0" w:color="auto"/>
        <w:left w:val="none" w:sz="0" w:space="0" w:color="auto"/>
        <w:bottom w:val="none" w:sz="0" w:space="0" w:color="auto"/>
        <w:right w:val="none" w:sz="0" w:space="0" w:color="auto"/>
      </w:divBdr>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E5C58239B0A4BBFC1D15A9FB564C7" ma:contentTypeVersion="12" ma:contentTypeDescription="Een nieuw document maken." ma:contentTypeScope="" ma:versionID="34828d0afe2719eab7095e536612f10b">
  <xsd:schema xmlns:xsd="http://www.w3.org/2001/XMLSchema" xmlns:xs="http://www.w3.org/2001/XMLSchema" xmlns:p="http://schemas.microsoft.com/office/2006/metadata/properties" xmlns:ns2="54ca84a0-1bf9-4034-9a36-86e0c8c11553" xmlns:ns3="8e883c61-fc1d-48f1-84ae-af2bff4a7d55" targetNamespace="http://schemas.microsoft.com/office/2006/metadata/properties" ma:root="true" ma:fieldsID="4800cf769745b5ebd59b17422c9686e1" ns2:_="" ns3:_="">
    <xsd:import namespace="54ca84a0-1bf9-4034-9a36-86e0c8c11553"/>
    <xsd:import namespace="8e883c61-fc1d-48f1-84ae-af2bff4a7d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a84a0-1bf9-4034-9a36-86e0c8c11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83c61-fc1d-48f1-84ae-af2bff4a7d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2.xml><?xml version="1.0" encoding="utf-8"?>
<ds:datastoreItem xmlns:ds="http://schemas.openxmlformats.org/officeDocument/2006/customXml" ds:itemID="{288250AE-3DF2-4210-BCB3-B98388C2A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a84a0-1bf9-4034-9a36-86e0c8c11553"/>
    <ds:schemaRef ds:uri="8e883c61-fc1d-48f1-84ae-af2bff4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3037</Words>
  <Characters>16707</Characters>
  <Application>Microsoft Office Word</Application>
  <DocSecurity>2</DocSecurity>
  <Lines>139</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Knijf</dc:creator>
  <cp:keywords/>
  <dc:description/>
  <cp:lastModifiedBy>Hanneke Knijf</cp:lastModifiedBy>
  <cp:revision>2</cp:revision>
  <dcterms:created xsi:type="dcterms:W3CDTF">2024-11-06T11:01:00Z</dcterms:created>
  <dcterms:modified xsi:type="dcterms:W3CDTF">2024-11-06T11:01:00Z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0x010100A39E5C58239B0A4BBFC1D15A9FB564C7</vt:lpwstr>
  </property>
  <property fmtid="{D5CDD505-2E9C-101B-9397-08002B2CF9AE}" pid="3" name="MSIP_Label_b3671b1d-041f-4e1d-9719-c85973750678_Enabled">
    <vt:lpwstr>true</vt:lpwstr>
  </property>
  <property fmtid="{D5CDD505-2E9C-101B-9397-08002B2CF9AE}" pid="4" name="MSIP_Label_b3671b1d-041f-4e1d-9719-c85973750678_SetDate">
    <vt:lpwstr>2021-06-02T07:48:41Z</vt:lpwstr>
  </property>
  <property fmtid="{D5CDD505-2E9C-101B-9397-08002B2CF9AE}" pid="5" name="MSIP_Label_b3671b1d-041f-4e1d-9719-c85973750678_Method">
    <vt:lpwstr>Privileged</vt:lpwstr>
  </property>
  <property fmtid="{D5CDD505-2E9C-101B-9397-08002B2CF9AE}" pid="6" name="MSIP_Label_b3671b1d-041f-4e1d-9719-c85973750678_Name">
    <vt:lpwstr>Confidential</vt:lpwstr>
  </property>
  <property fmtid="{D5CDD505-2E9C-101B-9397-08002B2CF9AE}" pid="7" name="MSIP_Label_b3671b1d-041f-4e1d-9719-c85973750678_SiteId">
    <vt:lpwstr>05f12e53-e33f-43a5-8462-88fa8db6d676</vt:lpwstr>
  </property>
  <property fmtid="{D5CDD505-2E9C-101B-9397-08002B2CF9AE}" pid="8" name="MSIP_Label_b3671b1d-041f-4e1d-9719-c85973750678_ActionId">
    <vt:lpwstr>4650c5a0-0573-4672-8f49-2f452647bf4c</vt:lpwstr>
  </property>
  <property fmtid="{D5CDD505-2E9C-101B-9397-08002B2CF9AE}" pid="9" name="MSIP_Label_b3671b1d-041f-4e1d-9719-c85973750678_ContentBits">
    <vt:lpwstr>0</vt:lpwstr>
  </property>
</Properties>
</file>