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D226" w14:textId="5020E3B4" w:rsidR="00143952" w:rsidRDefault="00143952" w:rsidP="00143952">
      <w:pPr>
        <w:jc w:val="center"/>
        <w:rPr>
          <w:rStyle w:val="Huisstijl-Rubriceringvolgbladen"/>
          <w:b/>
          <w:sz w:val="24"/>
        </w:rPr>
      </w:pPr>
      <w:bookmarkStart w:id="0" w:name="Text1"/>
      <w:bookmarkStart w:id="1" w:name="_Toc403494348"/>
      <w:bookmarkStart w:id="2" w:name="_Toc403494403"/>
      <w:bookmarkStart w:id="3" w:name="_Toc34732667"/>
      <w:bookmarkStart w:id="4" w:name="_Toc34738691"/>
      <w:bookmarkStart w:id="5" w:name="_Toc34738893"/>
      <w:bookmarkStart w:id="6" w:name="_Toc34744681"/>
      <w:bookmarkStart w:id="7" w:name="_Toc35254108"/>
      <w:bookmarkStart w:id="8" w:name="_Toc156981547"/>
      <w:r w:rsidRPr="00143952">
        <w:rPr>
          <w:rStyle w:val="Huisstijl-Rubriceringvolgbladen"/>
          <w:b/>
          <w:sz w:val="24"/>
        </w:rPr>
        <w:t>Vragenlijst bij Marktconsultatie VenR Weurt Heumen</w:t>
      </w:r>
    </w:p>
    <w:p w14:paraId="18CC5DB7" w14:textId="10017288" w:rsidR="00143952" w:rsidRDefault="00143952" w:rsidP="00C85162">
      <w:pPr>
        <w:rPr>
          <w:rStyle w:val="Huisstijl-Rubriceringvolgbladen"/>
          <w:b/>
          <w:sz w:val="24"/>
        </w:rPr>
      </w:pPr>
    </w:p>
    <w:p w14:paraId="2293863A" w14:textId="77777777" w:rsidR="00143952" w:rsidRPr="00143952" w:rsidRDefault="00143952" w:rsidP="00C85162">
      <w:pPr>
        <w:rPr>
          <w:b/>
          <w:sz w:val="24"/>
        </w:rPr>
      </w:pPr>
    </w:p>
    <w:p w14:paraId="57D77ED9" w14:textId="781901B7" w:rsidR="001E2160" w:rsidRPr="00130570" w:rsidRDefault="001E2160" w:rsidP="00C85162">
      <w:pPr>
        <w:pStyle w:val="HoofdstukGenummerd"/>
        <w:numPr>
          <w:ilvl w:val="0"/>
          <w:numId w:val="17"/>
        </w:numPr>
        <w:rPr>
          <w:b/>
        </w:rPr>
      </w:pPr>
      <w:r w:rsidRPr="00130570">
        <w:rPr>
          <w:b/>
        </w:rPr>
        <w:t>Vragen</w:t>
      </w:r>
      <w:bookmarkEnd w:id="1"/>
      <w:bookmarkEnd w:id="2"/>
      <w:bookmarkEnd w:id="3"/>
      <w:bookmarkEnd w:id="4"/>
      <w:bookmarkEnd w:id="5"/>
      <w:bookmarkEnd w:id="6"/>
      <w:bookmarkEnd w:id="7"/>
      <w:bookmarkEnd w:id="8"/>
      <w:r w:rsidR="0044716F" w:rsidRPr="00130570">
        <w:rPr>
          <w:b/>
        </w:rPr>
        <w:br/>
      </w:r>
      <w:bookmarkStart w:id="9" w:name="_GoBack"/>
      <w:bookmarkEnd w:id="9"/>
    </w:p>
    <w:p w14:paraId="012A219A" w14:textId="05E863BB" w:rsidR="00CF0116" w:rsidRPr="00CF0116" w:rsidRDefault="00F35A0C" w:rsidP="00CF0116">
      <w:pPr>
        <w:pStyle w:val="Paragraaf"/>
        <w:numPr>
          <w:ilvl w:val="1"/>
          <w:numId w:val="17"/>
        </w:numPr>
      </w:pPr>
      <w:bookmarkStart w:id="10" w:name="_Toc156981548"/>
      <w:bookmarkEnd w:id="0"/>
      <w:r w:rsidRPr="00CF0116">
        <w:t>Algemeen</w:t>
      </w:r>
      <w:bookmarkEnd w:id="10"/>
    </w:p>
    <w:p w14:paraId="4857D175" w14:textId="179F609C" w:rsidR="004234EC" w:rsidRPr="00583BED" w:rsidRDefault="00B454AB" w:rsidP="00583BED">
      <w:pPr>
        <w:pStyle w:val="Lijstalinea"/>
        <w:ind w:left="0"/>
        <w:rPr>
          <w:szCs w:val="18"/>
        </w:rPr>
      </w:pPr>
      <w:r w:rsidRPr="00583BED">
        <w:rPr>
          <w:szCs w:val="18"/>
        </w:rPr>
        <w:t>Hieronder staan een aantal vragen gericht op de aanbesteding</w:t>
      </w:r>
      <w:r w:rsidR="00771427" w:rsidRPr="00583BED">
        <w:rPr>
          <w:szCs w:val="18"/>
        </w:rPr>
        <w:t xml:space="preserve"> en </w:t>
      </w:r>
      <w:r w:rsidR="004234EC" w:rsidRPr="00583BED">
        <w:rPr>
          <w:szCs w:val="18"/>
        </w:rPr>
        <w:t>contractering</w:t>
      </w:r>
      <w:r w:rsidRPr="00583BED">
        <w:rPr>
          <w:szCs w:val="18"/>
        </w:rPr>
        <w:t xml:space="preserve"> van het project </w:t>
      </w:r>
      <w:r w:rsidR="00771427" w:rsidRPr="00583BED">
        <w:rPr>
          <w:szCs w:val="18"/>
        </w:rPr>
        <w:t>VenR Weurt Heumen.</w:t>
      </w:r>
      <w:r w:rsidRPr="00583BED">
        <w:rPr>
          <w:szCs w:val="18"/>
        </w:rPr>
        <w:t xml:space="preserve"> Ten eerste staan een aantal algemene vragen ce</w:t>
      </w:r>
      <w:r w:rsidR="004234EC" w:rsidRPr="00583BED">
        <w:rPr>
          <w:szCs w:val="18"/>
        </w:rPr>
        <w:t>ntraal, vervolgens wordt op</w:t>
      </w:r>
      <w:r w:rsidRPr="00583BED">
        <w:rPr>
          <w:szCs w:val="18"/>
        </w:rPr>
        <w:t xml:space="preserve"> </w:t>
      </w:r>
      <w:r w:rsidR="004234EC" w:rsidRPr="00583BED">
        <w:rPr>
          <w:szCs w:val="18"/>
        </w:rPr>
        <w:t>verschillende thema’s ingezoomd. Deze zijn:</w:t>
      </w:r>
    </w:p>
    <w:p w14:paraId="6C0B5E67" w14:textId="4943C3BD" w:rsidR="00741DD5" w:rsidRPr="00583BED" w:rsidRDefault="00771427" w:rsidP="00583BED">
      <w:pPr>
        <w:pStyle w:val="Lijstalinea"/>
        <w:numPr>
          <w:ilvl w:val="0"/>
          <w:numId w:val="33"/>
        </w:numPr>
        <w:rPr>
          <w:szCs w:val="18"/>
        </w:rPr>
      </w:pPr>
      <w:r w:rsidRPr="00583BED">
        <w:rPr>
          <w:szCs w:val="18"/>
        </w:rPr>
        <w:t>Portfolio aanpak.</w:t>
      </w:r>
    </w:p>
    <w:p w14:paraId="0B31861D" w14:textId="1D222E8F" w:rsidR="00741DD5" w:rsidRPr="00583BED" w:rsidRDefault="0073445C" w:rsidP="00583BED">
      <w:pPr>
        <w:pStyle w:val="Lijstalinea"/>
        <w:numPr>
          <w:ilvl w:val="0"/>
          <w:numId w:val="33"/>
        </w:numPr>
        <w:rPr>
          <w:szCs w:val="18"/>
        </w:rPr>
      </w:pPr>
      <w:r w:rsidRPr="00583BED">
        <w:rPr>
          <w:szCs w:val="18"/>
        </w:rPr>
        <w:t>Financiële omvang</w:t>
      </w:r>
    </w:p>
    <w:p w14:paraId="46544920" w14:textId="3BD7E492" w:rsidR="00741DD5" w:rsidRPr="00583BED" w:rsidRDefault="00A3195C" w:rsidP="00583BED">
      <w:pPr>
        <w:pStyle w:val="Lijstalinea"/>
        <w:numPr>
          <w:ilvl w:val="0"/>
          <w:numId w:val="33"/>
        </w:numPr>
        <w:rPr>
          <w:szCs w:val="18"/>
        </w:rPr>
      </w:pPr>
      <w:r w:rsidRPr="00583BED">
        <w:rPr>
          <w:szCs w:val="18"/>
        </w:rPr>
        <w:t>Samenwerken</w:t>
      </w:r>
    </w:p>
    <w:p w14:paraId="64688150" w14:textId="1F4F0CA9" w:rsidR="00CA488A" w:rsidRPr="00583BED" w:rsidRDefault="00CA488A" w:rsidP="00583BED">
      <w:pPr>
        <w:pStyle w:val="Lijstalinea"/>
        <w:numPr>
          <w:ilvl w:val="0"/>
          <w:numId w:val="33"/>
        </w:numPr>
        <w:rPr>
          <w:szCs w:val="18"/>
        </w:rPr>
      </w:pPr>
      <w:r w:rsidRPr="00583BED">
        <w:rPr>
          <w:szCs w:val="18"/>
        </w:rPr>
        <w:t>Flexibiliteit</w:t>
      </w:r>
    </w:p>
    <w:p w14:paraId="36A56592" w14:textId="2E47DB85" w:rsidR="00CA488A" w:rsidRPr="00583BED" w:rsidRDefault="00CA488A" w:rsidP="00583BED">
      <w:pPr>
        <w:pStyle w:val="Lijstalinea"/>
        <w:numPr>
          <w:ilvl w:val="0"/>
          <w:numId w:val="33"/>
        </w:numPr>
        <w:rPr>
          <w:szCs w:val="18"/>
        </w:rPr>
      </w:pPr>
      <w:r w:rsidRPr="00583BED">
        <w:rPr>
          <w:szCs w:val="18"/>
        </w:rPr>
        <w:t>Vervolgproces marktdialoog</w:t>
      </w:r>
    </w:p>
    <w:p w14:paraId="15BD5A3B" w14:textId="77777777" w:rsidR="0029638A" w:rsidRPr="00583BED" w:rsidRDefault="0029638A" w:rsidP="00583BED">
      <w:pPr>
        <w:pStyle w:val="Lijstalinea"/>
        <w:rPr>
          <w:szCs w:val="18"/>
        </w:rPr>
      </w:pPr>
    </w:p>
    <w:p w14:paraId="2A862392" w14:textId="77777777" w:rsidR="00DF260C" w:rsidRPr="00583BED" w:rsidRDefault="00B454AB" w:rsidP="00583BED">
      <w:pPr>
        <w:pStyle w:val="Lijstalinea"/>
        <w:ind w:left="0"/>
        <w:rPr>
          <w:szCs w:val="18"/>
        </w:rPr>
      </w:pPr>
      <w:r w:rsidRPr="00583BED">
        <w:rPr>
          <w:szCs w:val="18"/>
        </w:rPr>
        <w:t xml:space="preserve">Deze thema’s wil RWS graag vroegtijdig met de markt </w:t>
      </w:r>
      <w:r w:rsidR="00BD4E9C" w:rsidRPr="00583BED">
        <w:rPr>
          <w:szCs w:val="18"/>
        </w:rPr>
        <w:t xml:space="preserve">preciseren </w:t>
      </w:r>
      <w:r w:rsidR="00833D0D" w:rsidRPr="00583BED">
        <w:rPr>
          <w:szCs w:val="18"/>
        </w:rPr>
        <w:t>om zo optimaal kansen te benutten en de aanbesteding en het contract optimaal in te richten</w:t>
      </w:r>
      <w:r w:rsidR="00BD4E9C" w:rsidRPr="00583BED">
        <w:rPr>
          <w:szCs w:val="18"/>
        </w:rPr>
        <w:t>.</w:t>
      </w:r>
      <w:r w:rsidRPr="00583BED">
        <w:rPr>
          <w:szCs w:val="18"/>
        </w:rPr>
        <w:br/>
      </w:r>
    </w:p>
    <w:p w14:paraId="770F74CC" w14:textId="77777777" w:rsidR="004D4133" w:rsidRPr="00583BED" w:rsidRDefault="00A11BFE" w:rsidP="00583BED">
      <w:pPr>
        <w:pStyle w:val="Lijstalinea"/>
        <w:ind w:left="0"/>
        <w:rPr>
          <w:szCs w:val="18"/>
        </w:rPr>
      </w:pPr>
      <w:r w:rsidRPr="00583BED">
        <w:rPr>
          <w:szCs w:val="18"/>
        </w:rPr>
        <w:t xml:space="preserve">Rijkswaterstaat verzoekt u om per antwoord niet meer dan </w:t>
      </w:r>
      <w:r w:rsidRPr="00583BED">
        <w:rPr>
          <w:szCs w:val="18"/>
          <w:u w:val="single"/>
        </w:rPr>
        <w:t>5 regels</w:t>
      </w:r>
      <w:r w:rsidRPr="00583BED">
        <w:rPr>
          <w:szCs w:val="18"/>
        </w:rPr>
        <w:t xml:space="preserve"> toelichting te hanteren, tenzij anders aangegeven.</w:t>
      </w:r>
    </w:p>
    <w:p w14:paraId="2700B15E" w14:textId="77777777" w:rsidR="00710C8F" w:rsidRPr="00583BED" w:rsidRDefault="00710C8F" w:rsidP="00583BED">
      <w:pPr>
        <w:pStyle w:val="Lijstalinea"/>
        <w:ind w:left="0"/>
        <w:rPr>
          <w:szCs w:val="18"/>
        </w:rPr>
      </w:pPr>
      <w:r w:rsidRPr="00583BED">
        <w:rPr>
          <w:szCs w:val="18"/>
        </w:rPr>
        <w:t>Rijkswaterstaat heeft de volgende algemene(re) vragen:</w:t>
      </w:r>
    </w:p>
    <w:p w14:paraId="60A13558" w14:textId="77777777" w:rsidR="00741DD5" w:rsidRPr="00583BED" w:rsidRDefault="00741DD5" w:rsidP="00583BED">
      <w:pPr>
        <w:pStyle w:val="Lijstalinea"/>
        <w:ind w:left="0"/>
        <w:rPr>
          <w:szCs w:val="18"/>
        </w:rPr>
      </w:pPr>
    </w:p>
    <w:p w14:paraId="238854C6" w14:textId="77777777" w:rsidR="00710C8F" w:rsidRPr="00583BED" w:rsidRDefault="00212B22" w:rsidP="00583BED">
      <w:pPr>
        <w:pStyle w:val="Lijstalinea"/>
        <w:numPr>
          <w:ilvl w:val="0"/>
          <w:numId w:val="26"/>
        </w:numPr>
        <w:ind w:left="567" w:hanging="283"/>
        <w:rPr>
          <w:szCs w:val="18"/>
        </w:rPr>
      </w:pPr>
      <w:r w:rsidRPr="00583BED">
        <w:rPr>
          <w:szCs w:val="18"/>
        </w:rPr>
        <w:t>In welke branche bent u actief</w:t>
      </w:r>
      <w:r w:rsidR="00DF260C" w:rsidRPr="00583BED">
        <w:rPr>
          <w:szCs w:val="18"/>
        </w:rPr>
        <w:t xml:space="preserve"> en waarom is dit project voor u interessant</w:t>
      </w:r>
      <w:r w:rsidR="00710C8F" w:rsidRPr="00583BED">
        <w:rPr>
          <w:szCs w:val="18"/>
        </w:rPr>
        <w:t xml:space="preserve">? </w:t>
      </w:r>
    </w:p>
    <w:p w14:paraId="402907AC" w14:textId="77777777" w:rsidR="0044582C" w:rsidRPr="00583BED" w:rsidRDefault="00710C8F" w:rsidP="00583BED">
      <w:pPr>
        <w:pStyle w:val="Lijstalinea"/>
        <w:numPr>
          <w:ilvl w:val="0"/>
          <w:numId w:val="26"/>
        </w:numPr>
        <w:ind w:left="567" w:hanging="283"/>
        <w:rPr>
          <w:szCs w:val="18"/>
        </w:rPr>
      </w:pPr>
      <w:r w:rsidRPr="00583BED">
        <w:rPr>
          <w:szCs w:val="18"/>
        </w:rPr>
        <w:t xml:space="preserve">Kunt u uw top 3 </w:t>
      </w:r>
      <w:r w:rsidR="00182156" w:rsidRPr="00583BED">
        <w:rPr>
          <w:szCs w:val="18"/>
        </w:rPr>
        <w:t>opdrachtnemers</w:t>
      </w:r>
      <w:r w:rsidRPr="00583BED">
        <w:rPr>
          <w:szCs w:val="18"/>
        </w:rPr>
        <w:t>risico</w:t>
      </w:r>
      <w:r w:rsidR="004234EC" w:rsidRPr="00583BED">
        <w:rPr>
          <w:szCs w:val="18"/>
        </w:rPr>
        <w:t>’</w:t>
      </w:r>
      <w:r w:rsidRPr="00583BED">
        <w:rPr>
          <w:szCs w:val="18"/>
        </w:rPr>
        <w:t xml:space="preserve">s </w:t>
      </w:r>
      <w:r w:rsidR="004234EC" w:rsidRPr="00583BED">
        <w:rPr>
          <w:szCs w:val="18"/>
        </w:rPr>
        <w:t xml:space="preserve">op basis van dit marktconsultatiedocument </w:t>
      </w:r>
      <w:r w:rsidRPr="00583BED">
        <w:rPr>
          <w:szCs w:val="18"/>
        </w:rPr>
        <w:t>aangeven? En hoe kunt u deze voorkomen c.q. beheersen?</w:t>
      </w:r>
      <w:r w:rsidR="00CA6D3E" w:rsidRPr="00583BED" w:rsidDel="00CA6D3E">
        <w:rPr>
          <w:szCs w:val="18"/>
        </w:rPr>
        <w:t xml:space="preserve"> </w:t>
      </w:r>
      <w:r w:rsidR="00182156" w:rsidRPr="00583BED">
        <w:rPr>
          <w:szCs w:val="18"/>
        </w:rPr>
        <w:t>Kan Rijkswaterstaat hier nog een rol in spelen?</w:t>
      </w:r>
      <w:r w:rsidR="00733190" w:rsidRPr="00583BED">
        <w:rPr>
          <w:szCs w:val="18"/>
        </w:rPr>
        <w:t xml:space="preserve"> Gaarne in maximaal 10 regels toelichten.</w:t>
      </w:r>
    </w:p>
    <w:p w14:paraId="01181FDD" w14:textId="10FEF84D" w:rsidR="00102037" w:rsidRPr="00B6794D" w:rsidRDefault="00CF0116" w:rsidP="00B23479">
      <w:pPr>
        <w:pStyle w:val="Paragraaf"/>
        <w:numPr>
          <w:ilvl w:val="1"/>
          <w:numId w:val="17"/>
        </w:numPr>
      </w:pPr>
      <w:bookmarkStart w:id="11" w:name="_Toc156981549"/>
      <w:r>
        <w:t>Thema 1</w:t>
      </w:r>
      <w:r w:rsidR="00F35A0C">
        <w:t>:</w:t>
      </w:r>
      <w:r w:rsidR="008E3B34">
        <w:t xml:space="preserve"> </w:t>
      </w:r>
      <w:r w:rsidR="00771427">
        <w:t>Portfolio aanpak</w:t>
      </w:r>
      <w:bookmarkEnd w:id="11"/>
    </w:p>
    <w:p w14:paraId="081E48E8" w14:textId="5FF46C08" w:rsidR="00771427" w:rsidRDefault="00771427" w:rsidP="00583BED">
      <w:pPr>
        <w:pStyle w:val="Lijstalinea"/>
        <w:ind w:left="0"/>
      </w:pPr>
      <w:r>
        <w:t xml:space="preserve">Rijkswaterstaat heeft op 1 februari 2022 het document </w:t>
      </w:r>
      <w:r w:rsidRPr="00771427">
        <w:t>handreiking contractuele portfolioaanpak</w:t>
      </w:r>
      <w:r>
        <w:t xml:space="preserve"> gepubliceerd op haar website. </w:t>
      </w:r>
      <w:r w:rsidRPr="00771427">
        <w:t>De</w:t>
      </w:r>
      <w:r>
        <w:t>ze</w:t>
      </w:r>
      <w:r w:rsidRPr="00771427">
        <w:t xml:space="preserve"> handreiking is in nauwe samenwerkin</w:t>
      </w:r>
      <w:r>
        <w:t>g met de markt tot stand gekomen.</w:t>
      </w:r>
    </w:p>
    <w:p w14:paraId="3EE1618C" w14:textId="2E53ADD8" w:rsidR="00771427" w:rsidRDefault="00771427" w:rsidP="00583BED">
      <w:pPr>
        <w:pStyle w:val="Lijstalinea"/>
        <w:ind w:left="0"/>
      </w:pPr>
      <w:r>
        <w:t xml:space="preserve">In deze handreiking worden drie mogelijke </w:t>
      </w:r>
      <w:r w:rsidR="000B109B">
        <w:t>methoden</w:t>
      </w:r>
      <w:r>
        <w:t xml:space="preserve"> genoemd voor het toepassen van een portfolio aanpak, te weten:</w:t>
      </w:r>
    </w:p>
    <w:p w14:paraId="6753BA7F" w14:textId="0CEA4529" w:rsidR="00771427" w:rsidRDefault="00771427" w:rsidP="00583BED">
      <w:pPr>
        <w:pStyle w:val="Lijstalinea"/>
        <w:numPr>
          <w:ilvl w:val="0"/>
          <w:numId w:val="29"/>
        </w:numPr>
      </w:pPr>
      <w:r>
        <w:t>Herzieningsclausule (opties)</w:t>
      </w:r>
    </w:p>
    <w:p w14:paraId="3A507D5B" w14:textId="77777777" w:rsidR="000B109B" w:rsidRDefault="000B109B" w:rsidP="00583BED">
      <w:pPr>
        <w:pStyle w:val="Lijstalinea"/>
        <w:numPr>
          <w:ilvl w:val="0"/>
          <w:numId w:val="29"/>
        </w:numPr>
      </w:pPr>
      <w:r>
        <w:t>Herhalingsopdracht</w:t>
      </w:r>
    </w:p>
    <w:p w14:paraId="54381C10" w14:textId="47B77780" w:rsidR="000B109B" w:rsidRDefault="000B109B" w:rsidP="00583BED">
      <w:pPr>
        <w:pStyle w:val="Lijstalinea"/>
        <w:numPr>
          <w:ilvl w:val="0"/>
          <w:numId w:val="29"/>
        </w:numPr>
      </w:pPr>
      <w:r>
        <w:t>Raamcontract met één opdrachtnemer</w:t>
      </w:r>
    </w:p>
    <w:p w14:paraId="64705000" w14:textId="6B9063AA" w:rsidR="000B109B" w:rsidRDefault="000B109B" w:rsidP="00583BED"/>
    <w:p w14:paraId="1D4C6593" w14:textId="3EAF0621" w:rsidR="000B109B" w:rsidRDefault="000B109B" w:rsidP="00583BED">
      <w:r>
        <w:t xml:space="preserve">Hieronder volgt een korte uitleg van de drie methoden met daarbij dikgedrukt de beperkende factoren. </w:t>
      </w:r>
    </w:p>
    <w:p w14:paraId="3946A2F8" w14:textId="77777777" w:rsidR="000B109B" w:rsidRDefault="000B109B" w:rsidP="00583BED">
      <w:pPr>
        <w:pStyle w:val="Lijstalinea"/>
      </w:pPr>
    </w:p>
    <w:p w14:paraId="37F24E22" w14:textId="77777777" w:rsidR="004948DF" w:rsidRPr="00130570" w:rsidRDefault="004948DF" w:rsidP="000B109B">
      <w:pPr>
        <w:pStyle w:val="Lijstalinea"/>
        <w:ind w:left="0"/>
        <w:rPr>
          <w:b/>
          <w:u w:val="single"/>
        </w:rPr>
      </w:pPr>
      <w:r w:rsidRPr="00130570">
        <w:rPr>
          <w:b/>
          <w:u w:val="single"/>
        </w:rPr>
        <w:t>Herzieningsclausule</w:t>
      </w:r>
    </w:p>
    <w:p w14:paraId="126BEF25" w14:textId="0078DE3C" w:rsidR="0067070F" w:rsidRDefault="0067070F" w:rsidP="000B109B">
      <w:pPr>
        <w:pStyle w:val="Lijstalinea"/>
        <w:ind w:left="0"/>
      </w:pPr>
      <w:r w:rsidRPr="0067070F">
        <w:t xml:space="preserve">De Aanbestedingswet kent de mogelijkheid om in contracten van aanvang af herzieningsclausules op te nemen, ook wel opties genoemd. Dit biedt de mogelijkheid om </w:t>
      </w:r>
      <w:r w:rsidRPr="000B109B">
        <w:rPr>
          <w:b/>
        </w:rPr>
        <w:t xml:space="preserve">vooraf voorziene en </w:t>
      </w:r>
      <w:r w:rsidR="000B109B" w:rsidRPr="000B109B">
        <w:rPr>
          <w:b/>
        </w:rPr>
        <w:t xml:space="preserve">duidelijke, nauwkeurige en ondubbelzinnige </w:t>
      </w:r>
      <w:r w:rsidRPr="000B109B">
        <w:rPr>
          <w:b/>
        </w:rPr>
        <w:t>benoemde</w:t>
      </w:r>
      <w:r w:rsidRPr="000B109B">
        <w:t xml:space="preserve"> extra werkzaamheden</w:t>
      </w:r>
      <w:r w:rsidRPr="0067070F">
        <w:t xml:space="preserve"> uit te vragen bij een bestaande opdrachtnemer zonder dat een nieuwe aanbestedingsprocedure nodig is. In dat geval is geen sprake van een wezenlijke wijziging, indien de herzieningsclausule voldoet aan de in de wet geformuleerde eisen. Deze variant leent zich voor portfoliocontracten met één opdrachtnemer.</w:t>
      </w:r>
    </w:p>
    <w:p w14:paraId="387451B9" w14:textId="77777777" w:rsidR="000B109B" w:rsidRDefault="000B109B" w:rsidP="000B109B">
      <w:pPr>
        <w:pStyle w:val="Lijstalinea"/>
        <w:ind w:left="0"/>
      </w:pPr>
    </w:p>
    <w:p w14:paraId="356DC639" w14:textId="77777777" w:rsidR="004948DF" w:rsidRPr="00130570" w:rsidRDefault="004948DF" w:rsidP="000C5D85">
      <w:pPr>
        <w:pStyle w:val="Lijstalinea"/>
        <w:keepNext/>
        <w:keepLines/>
        <w:ind w:left="0"/>
        <w:rPr>
          <w:b/>
          <w:u w:val="single"/>
        </w:rPr>
      </w:pPr>
      <w:r w:rsidRPr="00130570">
        <w:rPr>
          <w:b/>
          <w:u w:val="single"/>
        </w:rPr>
        <w:t>Herhalingsopdracht</w:t>
      </w:r>
    </w:p>
    <w:p w14:paraId="7D1A94E4" w14:textId="2BDC1712" w:rsidR="00771427" w:rsidRDefault="00771427" w:rsidP="000C5D85">
      <w:pPr>
        <w:pStyle w:val="Lijstalinea"/>
        <w:keepNext/>
        <w:keepLines/>
        <w:ind w:left="0"/>
      </w:pPr>
      <w:r w:rsidRPr="00771427">
        <w:t xml:space="preserve">Tot </w:t>
      </w:r>
      <w:r w:rsidRPr="000B109B">
        <w:rPr>
          <w:b/>
        </w:rPr>
        <w:t>drie jaar na gunning van een opdracht kan een opdrachtgever procedures voor herhalingsopdrachten starten</w:t>
      </w:r>
      <w:r w:rsidRPr="00771427">
        <w:t xml:space="preserve"> voor een herhaling van soortgelijke werken of diensten, indien dat vooraf is voorzien en kenbaar gemaakt in de aanbesteding van de oorspronkelijke opdracht. De herhalingsopdrachten worden buiten concurrentie middels de procedure van gunning door onderhandeling zonder bekendmaking gegund en opgedragen aan de zittende opdrachtnemer. Dit is een relatief eenvoudige en flexibele wijze om aanvullende werkzaamheden op te kunnen dragen.</w:t>
      </w:r>
    </w:p>
    <w:p w14:paraId="5538D8F5" w14:textId="77777777" w:rsidR="000B109B" w:rsidRDefault="000B109B" w:rsidP="000B109B">
      <w:pPr>
        <w:pStyle w:val="Lijstalinea"/>
        <w:ind w:left="0"/>
      </w:pPr>
    </w:p>
    <w:p w14:paraId="775194F1" w14:textId="77777777" w:rsidR="004948DF" w:rsidRPr="00130570" w:rsidRDefault="004948DF" w:rsidP="000B109B">
      <w:pPr>
        <w:pStyle w:val="Lijstalinea"/>
        <w:ind w:left="0"/>
        <w:rPr>
          <w:b/>
          <w:u w:val="single"/>
        </w:rPr>
      </w:pPr>
      <w:r w:rsidRPr="00130570">
        <w:rPr>
          <w:b/>
          <w:u w:val="single"/>
        </w:rPr>
        <w:t>Raamcontract</w:t>
      </w:r>
    </w:p>
    <w:p w14:paraId="44D3996B" w14:textId="6D17CB80" w:rsidR="0067070F" w:rsidRDefault="0067070F" w:rsidP="00583BED">
      <w:pPr>
        <w:pStyle w:val="Lijstalinea"/>
        <w:ind w:left="0"/>
      </w:pPr>
      <w:r w:rsidRPr="0067070F">
        <w:t xml:space="preserve">De mogelijkheid bestaat om met één opdrachtnemer een raamovereenkomst te sluiten op grond waarvan gedurende een vooraf bepaalde periode opdrachten kunnen worden opgedragen aan de ondernemer met wie de raamovereenkomst is gesloten. </w:t>
      </w:r>
      <w:r w:rsidR="000B109B" w:rsidRPr="000B109B">
        <w:rPr>
          <w:b/>
        </w:rPr>
        <w:t>De looptijd van een raamovereenkomst is niet langer dan vier jaar, behalve in uitzonderingsgevallen die deugdelijk gemotiveerd zijn.</w:t>
      </w:r>
      <w:r w:rsidR="000B109B">
        <w:t xml:space="preserve"> </w:t>
      </w:r>
      <w:r w:rsidRPr="0067070F">
        <w:t>Dit geschiedt in de vorm van zogenoemde nadere overeenkomsten. Binnen de portfolioaanpak bestaan die nadere overeenkomsten uit de verschille</w:t>
      </w:r>
      <w:r w:rsidR="0073445C">
        <w:t>nde aanvullende opdrachten</w:t>
      </w:r>
      <w:r w:rsidRPr="0067070F">
        <w:t xml:space="preserve"> </w:t>
      </w:r>
      <w:r w:rsidR="0073445C">
        <w:t>w</w:t>
      </w:r>
      <w:r w:rsidRPr="0067070F">
        <w:t xml:space="preserve">aarvoor één-op-één aanbiedingen </w:t>
      </w:r>
      <w:r w:rsidR="0073445C" w:rsidRPr="0067070F">
        <w:t xml:space="preserve">worden </w:t>
      </w:r>
      <w:r w:rsidRPr="0067070F">
        <w:t>gevraagd aan de raamcontractant.</w:t>
      </w:r>
    </w:p>
    <w:p w14:paraId="2335AE59" w14:textId="1B476C67" w:rsidR="0067070F" w:rsidRDefault="0067070F" w:rsidP="00583BED">
      <w:pPr>
        <w:pStyle w:val="Lijstalinea"/>
      </w:pPr>
    </w:p>
    <w:p w14:paraId="73BB9817" w14:textId="6757D365" w:rsidR="008A55D8" w:rsidRDefault="008A55D8" w:rsidP="00583BED">
      <w:pPr>
        <w:pStyle w:val="Lijstalinea"/>
        <w:numPr>
          <w:ilvl w:val="0"/>
          <w:numId w:val="26"/>
        </w:numPr>
      </w:pPr>
      <w:r>
        <w:t>Kunt u voor elk van de hierboven beschreven methoden in maximaal 5 regels</w:t>
      </w:r>
      <w:r w:rsidR="00E732DD">
        <w:t xml:space="preserve"> per methode</w:t>
      </w:r>
      <w:r>
        <w:t xml:space="preserve"> aangeven waarom deze methode wel of niet binnen VenR Weurt-Heumen toepasbaar is?</w:t>
      </w:r>
    </w:p>
    <w:p w14:paraId="29D72ABE" w14:textId="41FD585F" w:rsidR="0073445C" w:rsidRDefault="0073445C" w:rsidP="00583BED">
      <w:pPr>
        <w:pStyle w:val="Lijstalinea"/>
        <w:numPr>
          <w:ilvl w:val="0"/>
          <w:numId w:val="26"/>
        </w:numPr>
      </w:pPr>
      <w:r>
        <w:t>Welke van de drie hierboven beschreven methoden acht u het meest geschikt voor toepassing binnen VenR Weurt Heumen?</w:t>
      </w:r>
    </w:p>
    <w:p w14:paraId="3A38582C" w14:textId="243D6334" w:rsidR="0073445C" w:rsidRDefault="0073445C" w:rsidP="00583BED">
      <w:pPr>
        <w:pStyle w:val="Lijstalinea"/>
        <w:numPr>
          <w:ilvl w:val="0"/>
          <w:numId w:val="26"/>
        </w:numPr>
      </w:pPr>
      <w:r>
        <w:t>Hoe denkt u om te gaan met de dikgedrukte beperkende factoren in de door u geadviseerde methode?</w:t>
      </w:r>
    </w:p>
    <w:p w14:paraId="51F8FC0E" w14:textId="0647BC16" w:rsidR="0073445C" w:rsidRDefault="0073445C" w:rsidP="00583BED">
      <w:pPr>
        <w:pStyle w:val="Lijstalinea"/>
        <w:numPr>
          <w:ilvl w:val="0"/>
          <w:numId w:val="26"/>
        </w:numPr>
      </w:pPr>
      <w:r>
        <w:t xml:space="preserve">Ziet u nog een andere methode voor het toepassen van de portfolioaanpak </w:t>
      </w:r>
      <w:r w:rsidRPr="00A616F1">
        <w:t>binnen VenR</w:t>
      </w:r>
      <w:r>
        <w:t xml:space="preserve"> Weurt Heumen? </w:t>
      </w:r>
    </w:p>
    <w:p w14:paraId="62138D0B" w14:textId="631FB1E8" w:rsidR="0073445C" w:rsidRDefault="0073445C" w:rsidP="00583BED">
      <w:pPr>
        <w:pStyle w:val="Lijstalinea"/>
      </w:pPr>
      <w:r>
        <w:t>Gaarne toelichten in maximaal 20 regels.</w:t>
      </w:r>
    </w:p>
    <w:p w14:paraId="7380C35C" w14:textId="77777777" w:rsidR="00D32C30" w:rsidRDefault="00D32C30" w:rsidP="00130570">
      <w:pPr>
        <w:pStyle w:val="Lijstalinea"/>
        <w:ind w:left="360"/>
      </w:pPr>
    </w:p>
    <w:p w14:paraId="3DA5E24C" w14:textId="15D727DF" w:rsidR="00CF0116" w:rsidRPr="00CF0116" w:rsidRDefault="00D32C30" w:rsidP="00CF0116">
      <w:pPr>
        <w:pStyle w:val="Paragraaf"/>
        <w:numPr>
          <w:ilvl w:val="1"/>
          <w:numId w:val="17"/>
        </w:numPr>
      </w:pPr>
      <w:bookmarkStart w:id="12" w:name="_Toc156981550"/>
      <w:r w:rsidRPr="00CF0116">
        <w:t>Thema</w:t>
      </w:r>
      <w:r w:rsidR="00CF0116">
        <w:t xml:space="preserve"> 2:</w:t>
      </w:r>
      <w:r w:rsidRPr="00CF0116">
        <w:t xml:space="preserve"> </w:t>
      </w:r>
      <w:r w:rsidR="0073445C">
        <w:t>Financiële omvang</w:t>
      </w:r>
      <w:bookmarkEnd w:id="12"/>
    </w:p>
    <w:p w14:paraId="1F719719" w14:textId="7AA013BD" w:rsidR="00614656" w:rsidRDefault="0073445C" w:rsidP="00130570">
      <w:pPr>
        <w:rPr>
          <w:rFonts w:eastAsia="Times New Roman"/>
          <w:szCs w:val="18"/>
        </w:rPr>
      </w:pPr>
      <w:r>
        <w:rPr>
          <w:rFonts w:eastAsia="Times New Roman"/>
          <w:szCs w:val="18"/>
        </w:rPr>
        <w:t xml:space="preserve">De financiële omvang van de gehele scope </w:t>
      </w:r>
      <w:r w:rsidR="00480238">
        <w:rPr>
          <w:rFonts w:eastAsia="Times New Roman"/>
          <w:szCs w:val="18"/>
        </w:rPr>
        <w:t xml:space="preserve">van het </w:t>
      </w:r>
      <w:r w:rsidR="00AD3927" w:rsidRPr="00AD3927">
        <w:rPr>
          <w:rFonts w:eastAsia="Times New Roman"/>
          <w:szCs w:val="18"/>
        </w:rPr>
        <w:t xml:space="preserve">project ligt boven de drempel van 250 M€, die </w:t>
      </w:r>
      <w:r w:rsidR="00480238">
        <w:rPr>
          <w:rFonts w:eastAsia="Times New Roman"/>
          <w:szCs w:val="18"/>
        </w:rPr>
        <w:t>veelal genoemd wordt als door de markt aanvaardbaar.</w:t>
      </w:r>
      <w:r>
        <w:rPr>
          <w:rFonts w:eastAsia="Times New Roman"/>
          <w:szCs w:val="18"/>
        </w:rPr>
        <w:t xml:space="preserve"> </w:t>
      </w:r>
      <w:r w:rsidR="00AD3927" w:rsidRPr="00AD3927">
        <w:rPr>
          <w:rFonts w:eastAsia="Times New Roman"/>
          <w:szCs w:val="18"/>
        </w:rPr>
        <w:t>Vanuit de voorgestelde inkoopstrategie wordt dit risico beheerst door enerzijds de portfolioaanpak met meerdere deelopdrachten. En anderzijds door de tweefasen aanpak, waarbij de aannemer aan het einde van Fase I een definitieve aanbieding doet o.b.v. gezamenlijk overeen gekomen ontwerp, contracteisen en risicoverdeling</w:t>
      </w:r>
      <w:r w:rsidR="00457E9C">
        <w:rPr>
          <w:rFonts w:eastAsia="Times New Roman"/>
          <w:szCs w:val="18"/>
        </w:rPr>
        <w:t>.</w:t>
      </w:r>
    </w:p>
    <w:p w14:paraId="75C635B6" w14:textId="4C20B8C9" w:rsidR="00AD4DBC" w:rsidRDefault="00AD4DBC" w:rsidP="00130570">
      <w:pPr>
        <w:rPr>
          <w:rFonts w:eastAsia="Times New Roman"/>
          <w:szCs w:val="18"/>
        </w:rPr>
      </w:pPr>
      <w:r w:rsidRPr="00AC6B37">
        <w:rPr>
          <w:rFonts w:eastAsia="Times New Roman"/>
          <w:szCs w:val="18"/>
        </w:rPr>
        <w:t>Bij portfolioaanpak worden marktpartijen</w:t>
      </w:r>
      <w:r w:rsidR="00457E9C" w:rsidRPr="00AC6B37">
        <w:rPr>
          <w:rFonts w:eastAsia="Times New Roman"/>
          <w:szCs w:val="18"/>
        </w:rPr>
        <w:t xml:space="preserve"> tevens</w:t>
      </w:r>
      <w:r w:rsidRPr="00AC6B37">
        <w:rPr>
          <w:rFonts w:eastAsia="Times New Roman"/>
          <w:szCs w:val="18"/>
        </w:rPr>
        <w:t xml:space="preserve"> in staat gesteld om over meerdere objecten heen risico’s te reduceren, faalkosten te verminderen en innovatie te verhogen (Plan van aanpak ‘Op weg naar een vitale infrasector’ 2020).</w:t>
      </w:r>
    </w:p>
    <w:p w14:paraId="3B3D13A2" w14:textId="53B6B34E" w:rsidR="00AD4DBC" w:rsidRDefault="00AD4DBC" w:rsidP="009C026C">
      <w:pPr>
        <w:spacing w:line="240" w:lineRule="auto"/>
        <w:rPr>
          <w:rFonts w:eastAsia="Times New Roman"/>
          <w:szCs w:val="18"/>
        </w:rPr>
      </w:pPr>
    </w:p>
    <w:p w14:paraId="35B71A6C" w14:textId="68ED06D8" w:rsidR="00AD4DBC" w:rsidRPr="00583BED" w:rsidRDefault="00AD4DBC" w:rsidP="00440715">
      <w:pPr>
        <w:pStyle w:val="Lijstalinea"/>
        <w:keepNext/>
        <w:keepLines/>
        <w:numPr>
          <w:ilvl w:val="0"/>
          <w:numId w:val="26"/>
        </w:numPr>
        <w:ind w:left="714" w:hanging="357"/>
        <w:rPr>
          <w:rFonts w:eastAsia="Times New Roman"/>
          <w:szCs w:val="18"/>
        </w:rPr>
      </w:pPr>
      <w:r w:rsidRPr="00583BED">
        <w:rPr>
          <w:rFonts w:eastAsia="Times New Roman"/>
          <w:szCs w:val="18"/>
        </w:rPr>
        <w:t>Herkent u zich in de genoemde beheersmaatregelen?</w:t>
      </w:r>
    </w:p>
    <w:p w14:paraId="0F6ABF4C" w14:textId="584172BB" w:rsidR="00AD4DBC" w:rsidRPr="00583BED" w:rsidRDefault="00AD4DBC" w:rsidP="00440715">
      <w:pPr>
        <w:pStyle w:val="Lijstalinea"/>
        <w:keepNext/>
        <w:keepLines/>
        <w:numPr>
          <w:ilvl w:val="0"/>
          <w:numId w:val="26"/>
        </w:numPr>
        <w:ind w:left="714" w:hanging="357"/>
        <w:rPr>
          <w:rFonts w:eastAsia="Times New Roman"/>
          <w:szCs w:val="18"/>
        </w:rPr>
      </w:pPr>
      <w:r w:rsidRPr="00583BED">
        <w:rPr>
          <w:rFonts w:eastAsia="Times New Roman"/>
          <w:szCs w:val="18"/>
        </w:rPr>
        <w:t>Acht u deze beheersmaatregelen voldoende om de risico’s welke volgen uit een project met deze omvang dusdanig te beheersen dat dit geen belemmering is om aan te melden voor de aanbesteding?</w:t>
      </w:r>
    </w:p>
    <w:p w14:paraId="516D7118" w14:textId="5E196C9C" w:rsidR="00AD4DBC" w:rsidRPr="00583BED" w:rsidRDefault="00AD4DBC" w:rsidP="00130570">
      <w:pPr>
        <w:pStyle w:val="Lijstalinea"/>
        <w:numPr>
          <w:ilvl w:val="0"/>
          <w:numId w:val="26"/>
        </w:numPr>
        <w:rPr>
          <w:rFonts w:eastAsia="Times New Roman"/>
          <w:szCs w:val="18"/>
        </w:rPr>
      </w:pPr>
      <w:r w:rsidRPr="00583BED">
        <w:rPr>
          <w:rFonts w:eastAsia="Times New Roman"/>
          <w:szCs w:val="18"/>
        </w:rPr>
        <w:t>Ziet u nog andere beheersmaatregelen?</w:t>
      </w:r>
    </w:p>
    <w:p w14:paraId="10688FB1" w14:textId="73DBCF7B" w:rsidR="00AD4DBC" w:rsidRPr="00583BED" w:rsidRDefault="00AD4DBC" w:rsidP="00130570">
      <w:pPr>
        <w:pStyle w:val="Lijstalinea"/>
        <w:numPr>
          <w:ilvl w:val="0"/>
          <w:numId w:val="26"/>
        </w:numPr>
        <w:rPr>
          <w:rFonts w:eastAsia="Times New Roman"/>
          <w:szCs w:val="18"/>
        </w:rPr>
      </w:pPr>
      <w:r w:rsidRPr="00583BED">
        <w:rPr>
          <w:rFonts w:eastAsia="Times New Roman"/>
          <w:szCs w:val="18"/>
        </w:rPr>
        <w:t xml:space="preserve">Welke maximale </w:t>
      </w:r>
      <w:r w:rsidR="009E60E3" w:rsidRPr="00583BED">
        <w:rPr>
          <w:rFonts w:eastAsia="Times New Roman"/>
          <w:szCs w:val="18"/>
        </w:rPr>
        <w:t>financiële omvang</w:t>
      </w:r>
      <w:r w:rsidR="00E53DBE" w:rsidRPr="00583BED">
        <w:rPr>
          <w:rFonts w:eastAsia="Times New Roman"/>
          <w:szCs w:val="18"/>
        </w:rPr>
        <w:t xml:space="preserve"> op jaarbasis</w:t>
      </w:r>
      <w:r w:rsidR="009E60E3" w:rsidRPr="00583BED">
        <w:rPr>
          <w:rFonts w:eastAsia="Times New Roman"/>
          <w:szCs w:val="18"/>
        </w:rPr>
        <w:t xml:space="preserve"> is voor u acceptabel voor een 2-fasen contract welke onderdeel uitmaakt van een portfolioaanpak?</w:t>
      </w:r>
    </w:p>
    <w:p w14:paraId="396E1F81" w14:textId="0C1660AD" w:rsidR="009E60E3" w:rsidRPr="00583BED" w:rsidRDefault="009E60E3" w:rsidP="00130570">
      <w:pPr>
        <w:pStyle w:val="Lijstalinea"/>
        <w:numPr>
          <w:ilvl w:val="0"/>
          <w:numId w:val="26"/>
        </w:numPr>
        <w:rPr>
          <w:rFonts w:eastAsia="Times New Roman"/>
          <w:szCs w:val="18"/>
        </w:rPr>
      </w:pPr>
      <w:r w:rsidRPr="00583BED">
        <w:rPr>
          <w:rFonts w:eastAsia="Times New Roman"/>
          <w:szCs w:val="18"/>
        </w:rPr>
        <w:t xml:space="preserve">Welke maximale financiële omvang </w:t>
      </w:r>
      <w:r w:rsidR="00E53DBE" w:rsidRPr="00583BED">
        <w:rPr>
          <w:rFonts w:eastAsia="Times New Roman"/>
          <w:szCs w:val="18"/>
        </w:rPr>
        <w:t xml:space="preserve">op jaarbasis </w:t>
      </w:r>
      <w:r w:rsidRPr="00583BED">
        <w:rPr>
          <w:rFonts w:eastAsia="Times New Roman"/>
          <w:szCs w:val="18"/>
        </w:rPr>
        <w:t xml:space="preserve">is voor u acceptabel voor een 2-fasen contract welke </w:t>
      </w:r>
      <w:r w:rsidRPr="00583BED">
        <w:rPr>
          <w:rFonts w:eastAsia="Times New Roman"/>
          <w:i/>
          <w:szCs w:val="18"/>
        </w:rPr>
        <w:t>geen</w:t>
      </w:r>
      <w:r w:rsidRPr="00583BED">
        <w:rPr>
          <w:rFonts w:eastAsia="Times New Roman"/>
          <w:szCs w:val="18"/>
        </w:rPr>
        <w:t xml:space="preserve"> onderdeel uitmaakt van een portfolioaanpak?</w:t>
      </w:r>
    </w:p>
    <w:p w14:paraId="0DAA7B22" w14:textId="1F36FA57" w:rsidR="009E60E3" w:rsidRPr="00583BED" w:rsidRDefault="009E60E3" w:rsidP="00130570">
      <w:pPr>
        <w:pStyle w:val="Lijstalinea"/>
        <w:numPr>
          <w:ilvl w:val="0"/>
          <w:numId w:val="26"/>
        </w:numPr>
        <w:rPr>
          <w:rFonts w:eastAsia="Times New Roman"/>
          <w:szCs w:val="18"/>
        </w:rPr>
      </w:pPr>
      <w:r w:rsidRPr="00583BED">
        <w:rPr>
          <w:rFonts w:eastAsia="Times New Roman"/>
          <w:szCs w:val="18"/>
        </w:rPr>
        <w:t xml:space="preserve">Welke maximale financiële omvang </w:t>
      </w:r>
      <w:r w:rsidR="00E53DBE" w:rsidRPr="00583BED">
        <w:rPr>
          <w:rFonts w:eastAsia="Times New Roman"/>
          <w:szCs w:val="18"/>
        </w:rPr>
        <w:t xml:space="preserve">op jaarbasis </w:t>
      </w:r>
      <w:r w:rsidRPr="00583BED">
        <w:rPr>
          <w:rFonts w:eastAsia="Times New Roman"/>
          <w:szCs w:val="18"/>
        </w:rPr>
        <w:t>is voor u acceptabel voor een portfolioaanpak welke bestaat uit meerdere 2-fasen contracten?</w:t>
      </w:r>
    </w:p>
    <w:p w14:paraId="4385D9A2" w14:textId="27CC728C" w:rsidR="009E60E3" w:rsidRPr="00583BED" w:rsidRDefault="009E60E3" w:rsidP="00130570">
      <w:pPr>
        <w:pStyle w:val="Lijstalinea"/>
        <w:numPr>
          <w:ilvl w:val="0"/>
          <w:numId w:val="26"/>
        </w:numPr>
        <w:rPr>
          <w:rFonts w:eastAsia="Times New Roman"/>
          <w:szCs w:val="18"/>
        </w:rPr>
      </w:pPr>
      <w:r w:rsidRPr="00583BED">
        <w:rPr>
          <w:rFonts w:eastAsia="Times New Roman"/>
          <w:szCs w:val="18"/>
        </w:rPr>
        <w:t xml:space="preserve">Welke maximale financiële omvang </w:t>
      </w:r>
      <w:r w:rsidR="00E53DBE" w:rsidRPr="00583BED">
        <w:rPr>
          <w:rFonts w:eastAsia="Times New Roman"/>
          <w:szCs w:val="18"/>
        </w:rPr>
        <w:t xml:space="preserve">op jaarbasis </w:t>
      </w:r>
      <w:r w:rsidRPr="00583BED">
        <w:rPr>
          <w:rFonts w:eastAsia="Times New Roman"/>
          <w:szCs w:val="18"/>
        </w:rPr>
        <w:t>is voor u acceptabel voor een traditioneel D&amp;C contract welke onderdeel uitmaakt van een portfolioaanpak?</w:t>
      </w:r>
    </w:p>
    <w:p w14:paraId="00FAF864" w14:textId="1DC10B7F" w:rsidR="009E60E3" w:rsidRPr="00583BED" w:rsidRDefault="009E60E3" w:rsidP="00130570">
      <w:pPr>
        <w:pStyle w:val="Lijstalinea"/>
        <w:numPr>
          <w:ilvl w:val="0"/>
          <w:numId w:val="26"/>
        </w:numPr>
        <w:rPr>
          <w:rFonts w:eastAsia="Times New Roman"/>
          <w:szCs w:val="18"/>
        </w:rPr>
      </w:pPr>
      <w:r w:rsidRPr="00583BED">
        <w:rPr>
          <w:rFonts w:eastAsia="Times New Roman"/>
          <w:szCs w:val="18"/>
        </w:rPr>
        <w:t xml:space="preserve">Welke maximale financiële omvang </w:t>
      </w:r>
      <w:r w:rsidR="00E53DBE" w:rsidRPr="00583BED">
        <w:rPr>
          <w:rFonts w:eastAsia="Times New Roman"/>
          <w:szCs w:val="18"/>
        </w:rPr>
        <w:t xml:space="preserve">op jaarbasis </w:t>
      </w:r>
      <w:r w:rsidRPr="00583BED">
        <w:rPr>
          <w:rFonts w:eastAsia="Times New Roman"/>
          <w:szCs w:val="18"/>
        </w:rPr>
        <w:t xml:space="preserve">is voor u acceptabel voor een traditioneel D&amp;C contract welke </w:t>
      </w:r>
      <w:r w:rsidRPr="00583BED">
        <w:rPr>
          <w:rFonts w:eastAsia="Times New Roman"/>
          <w:i/>
          <w:szCs w:val="18"/>
        </w:rPr>
        <w:t>geen</w:t>
      </w:r>
      <w:r w:rsidRPr="00583BED">
        <w:rPr>
          <w:rFonts w:eastAsia="Times New Roman"/>
          <w:szCs w:val="18"/>
        </w:rPr>
        <w:t xml:space="preserve"> onderdeel uitmaakt van een portfolioaanpak?</w:t>
      </w:r>
    </w:p>
    <w:p w14:paraId="3717D451" w14:textId="296DBD14" w:rsidR="009E60E3" w:rsidRPr="00583BED" w:rsidRDefault="009E60E3" w:rsidP="00130570">
      <w:pPr>
        <w:pStyle w:val="Lijstalinea"/>
        <w:numPr>
          <w:ilvl w:val="0"/>
          <w:numId w:val="26"/>
        </w:numPr>
        <w:rPr>
          <w:rFonts w:eastAsia="Times New Roman"/>
          <w:szCs w:val="18"/>
        </w:rPr>
      </w:pPr>
      <w:r w:rsidRPr="00583BED">
        <w:rPr>
          <w:rFonts w:eastAsia="Times New Roman"/>
          <w:szCs w:val="18"/>
        </w:rPr>
        <w:t xml:space="preserve">Welke maximale financiële omvang </w:t>
      </w:r>
      <w:r w:rsidR="00E53DBE" w:rsidRPr="00583BED">
        <w:rPr>
          <w:rFonts w:eastAsia="Times New Roman"/>
          <w:szCs w:val="18"/>
        </w:rPr>
        <w:t xml:space="preserve">op jaarbasis </w:t>
      </w:r>
      <w:r w:rsidRPr="00583BED">
        <w:rPr>
          <w:rFonts w:eastAsia="Times New Roman"/>
          <w:szCs w:val="18"/>
        </w:rPr>
        <w:t>is voor u acceptabel voor een portfolioaanpak welke bestaat uit meerdere traditionele D&amp;C contracten?</w:t>
      </w:r>
    </w:p>
    <w:p w14:paraId="6E80CD12" w14:textId="2B62F4D8" w:rsidR="007A6EDB" w:rsidRPr="00D71029" w:rsidRDefault="008E7CCD" w:rsidP="005B6620">
      <w:pPr>
        <w:pStyle w:val="Paragraaf"/>
        <w:numPr>
          <w:ilvl w:val="1"/>
          <w:numId w:val="17"/>
        </w:numPr>
      </w:pPr>
      <w:bookmarkStart w:id="13" w:name="_Toc35254122"/>
      <w:bookmarkStart w:id="14" w:name="_Toc156981551"/>
      <w:r w:rsidRPr="004A3E5F">
        <w:t xml:space="preserve">Thema </w:t>
      </w:r>
      <w:bookmarkEnd w:id="13"/>
      <w:r w:rsidR="003D35FD">
        <w:t>3</w:t>
      </w:r>
      <w:r w:rsidR="00F35A0C">
        <w:t>:</w:t>
      </w:r>
      <w:r w:rsidR="00C53DB8">
        <w:t xml:space="preserve"> </w:t>
      </w:r>
      <w:r w:rsidR="00A3195C">
        <w:t>Samenwerken</w:t>
      </w:r>
      <w:bookmarkEnd w:id="14"/>
    </w:p>
    <w:p w14:paraId="1E11E088" w14:textId="2F63B0EE" w:rsidR="00F6219C" w:rsidRPr="00F6219C" w:rsidRDefault="00F6219C" w:rsidP="00130570">
      <w:pPr>
        <w:spacing w:line="240" w:lineRule="exact"/>
        <w:rPr>
          <w:rFonts w:eastAsia="Times New Roman"/>
          <w:szCs w:val="18"/>
        </w:rPr>
      </w:pPr>
      <w:r w:rsidRPr="00F6219C">
        <w:rPr>
          <w:rFonts w:eastAsia="Times New Roman"/>
          <w:szCs w:val="18"/>
        </w:rPr>
        <w:t xml:space="preserve">Om succesvol met een 2-fasen aanpak te kunnen werken, zal een aantal zaken </w:t>
      </w:r>
    </w:p>
    <w:p w14:paraId="2EDF7871" w14:textId="7697DA48" w:rsidR="00F6219C" w:rsidRPr="00F6219C" w:rsidRDefault="00F6219C" w:rsidP="00130570">
      <w:pPr>
        <w:spacing w:line="240" w:lineRule="exact"/>
        <w:rPr>
          <w:rFonts w:eastAsia="Times New Roman"/>
          <w:szCs w:val="18"/>
        </w:rPr>
      </w:pPr>
      <w:r w:rsidRPr="00F6219C">
        <w:rPr>
          <w:rFonts w:eastAsia="Times New Roman"/>
          <w:szCs w:val="18"/>
        </w:rPr>
        <w:t xml:space="preserve">contractueel moeten worden vastgelegd, in aanvulling op wat in reguliere projecten </w:t>
      </w:r>
    </w:p>
    <w:p w14:paraId="7D277B88" w14:textId="004CB1AB" w:rsidR="00F6219C" w:rsidRDefault="00F6219C" w:rsidP="00130570">
      <w:pPr>
        <w:spacing w:line="240" w:lineRule="exact"/>
        <w:rPr>
          <w:rFonts w:eastAsia="Times New Roman"/>
          <w:szCs w:val="18"/>
        </w:rPr>
      </w:pPr>
      <w:r w:rsidRPr="00F6219C">
        <w:rPr>
          <w:rFonts w:eastAsia="Times New Roman"/>
          <w:szCs w:val="18"/>
        </w:rPr>
        <w:t>gebruikelijk is. Een goede samenwerking is immers gebaat bij heldere afspraken. In de voorbereidingsfase maakt het projectteam een keuze voor een bepaalde contractvorm voor fase I en fase II, waarmee de contractuele afspraken voor een belangrijk deel worden vastgelegd. De keuze voor de contactvorm moet aansluiten bij de opgave van een project, waaronder de beoogde samenwerkingsvorm.</w:t>
      </w:r>
    </w:p>
    <w:p w14:paraId="1E823746" w14:textId="197CDA71" w:rsidR="00F6219C" w:rsidRDefault="00F6219C" w:rsidP="00130570">
      <w:pPr>
        <w:spacing w:line="240" w:lineRule="exact"/>
        <w:rPr>
          <w:rFonts w:eastAsia="Times New Roman"/>
          <w:szCs w:val="18"/>
        </w:rPr>
      </w:pPr>
    </w:p>
    <w:p w14:paraId="6937D110" w14:textId="480D06AF" w:rsidR="004C79BD" w:rsidRDefault="00515A85" w:rsidP="00130570">
      <w:pPr>
        <w:spacing w:line="240" w:lineRule="exact"/>
        <w:rPr>
          <w:rFonts w:eastAsia="Times New Roman"/>
          <w:szCs w:val="18"/>
        </w:rPr>
      </w:pPr>
      <w:r>
        <w:rPr>
          <w:rFonts w:eastAsia="Times New Roman"/>
          <w:szCs w:val="18"/>
        </w:rPr>
        <w:t>Tot nu toe heeft Rijkswaterstaat gekozen voor contract</w:t>
      </w:r>
      <w:r w:rsidR="00E53A64">
        <w:rPr>
          <w:rFonts w:eastAsia="Times New Roman"/>
          <w:szCs w:val="18"/>
        </w:rPr>
        <w:t>en</w:t>
      </w:r>
      <w:r>
        <w:rPr>
          <w:rFonts w:eastAsia="Times New Roman"/>
          <w:szCs w:val="18"/>
        </w:rPr>
        <w:t xml:space="preserve"> o.b.v. de UAV-gc voorwaarden voor zowel fase I als fase II. Omdat in fase I samenwerking een cruciale succesfactor is wordt door Rijkswaterstaat overwogen om in fase I een bouwteamovereenkomst toe te passen. Binnen Rijkswaterstaat en meer specifiek binnen het betrokken projectteam is hier nauwelijks ervaring mee opgedaan. </w:t>
      </w:r>
    </w:p>
    <w:p w14:paraId="1B1408D6" w14:textId="671C971B" w:rsidR="00515A85" w:rsidRDefault="00515A85" w:rsidP="00130570">
      <w:pPr>
        <w:spacing w:line="240" w:lineRule="exact"/>
        <w:rPr>
          <w:rFonts w:eastAsia="Times New Roman"/>
          <w:szCs w:val="18"/>
        </w:rPr>
      </w:pPr>
    </w:p>
    <w:p w14:paraId="4EDDC55E" w14:textId="6E516183" w:rsidR="00515A85" w:rsidRDefault="00515A85" w:rsidP="001C23BA">
      <w:pPr>
        <w:pStyle w:val="Lijstalinea"/>
        <w:numPr>
          <w:ilvl w:val="0"/>
          <w:numId w:val="26"/>
        </w:numPr>
        <w:spacing w:line="240" w:lineRule="exact"/>
        <w:rPr>
          <w:rFonts w:eastAsia="Times New Roman"/>
          <w:szCs w:val="18"/>
        </w:rPr>
      </w:pPr>
      <w:r>
        <w:rPr>
          <w:rFonts w:eastAsia="Times New Roman"/>
          <w:szCs w:val="18"/>
        </w:rPr>
        <w:t>Herkent u de wens om een bouwteamovereenkomst toe te passen in fase I?</w:t>
      </w:r>
    </w:p>
    <w:p w14:paraId="4316C338" w14:textId="3CCBB6BB" w:rsidR="00515A85" w:rsidRDefault="00515A85" w:rsidP="001C23BA">
      <w:pPr>
        <w:pStyle w:val="Lijstalinea"/>
        <w:numPr>
          <w:ilvl w:val="0"/>
          <w:numId w:val="26"/>
        </w:numPr>
        <w:spacing w:line="240" w:lineRule="exact"/>
        <w:rPr>
          <w:rFonts w:eastAsia="Times New Roman"/>
          <w:szCs w:val="18"/>
        </w:rPr>
      </w:pPr>
      <w:r>
        <w:rPr>
          <w:rFonts w:eastAsia="Times New Roman"/>
          <w:szCs w:val="18"/>
        </w:rPr>
        <w:t xml:space="preserve">Heeft u ervaring met een bouwteamovereenkomst welke inzetbaar is voor de uitvoering </w:t>
      </w:r>
      <w:r w:rsidRPr="00A616F1">
        <w:rPr>
          <w:rFonts w:eastAsia="Times New Roman"/>
          <w:szCs w:val="18"/>
        </w:rPr>
        <w:t>van contract</w:t>
      </w:r>
      <w:r>
        <w:rPr>
          <w:rFonts w:eastAsia="Times New Roman"/>
          <w:szCs w:val="18"/>
        </w:rPr>
        <w:t xml:space="preserve"> VenR Weurt Heumen?</w:t>
      </w:r>
      <w:r w:rsidR="00C302D0">
        <w:rPr>
          <w:rFonts w:eastAsia="Times New Roman"/>
          <w:szCs w:val="18"/>
        </w:rPr>
        <w:t xml:space="preserve"> Zo ja welke ervaring?</w:t>
      </w:r>
    </w:p>
    <w:p w14:paraId="04B4E836" w14:textId="728B4AF6" w:rsidR="00515A85" w:rsidRDefault="00515A85" w:rsidP="001C23BA">
      <w:pPr>
        <w:pStyle w:val="Lijstalinea"/>
        <w:numPr>
          <w:ilvl w:val="0"/>
          <w:numId w:val="26"/>
        </w:numPr>
        <w:spacing w:line="240" w:lineRule="exact"/>
        <w:rPr>
          <w:rFonts w:eastAsia="Times New Roman"/>
          <w:szCs w:val="18"/>
        </w:rPr>
      </w:pPr>
      <w:r>
        <w:rPr>
          <w:rFonts w:eastAsia="Times New Roman"/>
          <w:szCs w:val="18"/>
        </w:rPr>
        <w:t>Kunt u de vorm waarin u een bouwteamovereenkomst voor fase I zou willen toepassen beschrijven?</w:t>
      </w:r>
    </w:p>
    <w:p w14:paraId="64C7B60D" w14:textId="2BA7E6EB" w:rsidR="00515A85" w:rsidRDefault="00515A85" w:rsidP="00130570">
      <w:pPr>
        <w:pStyle w:val="Lijstalinea"/>
        <w:spacing w:line="240" w:lineRule="exact"/>
        <w:rPr>
          <w:rFonts w:eastAsia="Times New Roman"/>
          <w:szCs w:val="18"/>
        </w:rPr>
      </w:pPr>
      <w:r>
        <w:rPr>
          <w:rFonts w:eastAsia="Times New Roman"/>
          <w:szCs w:val="18"/>
        </w:rPr>
        <w:t>Gaarne toelichten in maximaal 20 regels.</w:t>
      </w:r>
    </w:p>
    <w:p w14:paraId="635281B0" w14:textId="092C2F6B" w:rsidR="0029638A" w:rsidRDefault="0029638A" w:rsidP="00130570">
      <w:pPr>
        <w:pStyle w:val="Lijstalinea"/>
        <w:spacing w:line="240" w:lineRule="exact"/>
        <w:rPr>
          <w:rFonts w:eastAsia="Times New Roman"/>
          <w:szCs w:val="18"/>
        </w:rPr>
      </w:pPr>
    </w:p>
    <w:p w14:paraId="5C81EA47" w14:textId="507A4926" w:rsidR="0029638A" w:rsidRDefault="0029638A" w:rsidP="005B6620">
      <w:pPr>
        <w:pStyle w:val="Paragraaf"/>
        <w:numPr>
          <w:ilvl w:val="1"/>
          <w:numId w:val="17"/>
        </w:numPr>
      </w:pPr>
      <w:bookmarkStart w:id="15" w:name="_Toc156981552"/>
      <w:r w:rsidRPr="004A3E5F">
        <w:t xml:space="preserve">Thema </w:t>
      </w:r>
      <w:r w:rsidR="003D35FD">
        <w:t>4</w:t>
      </w:r>
      <w:r>
        <w:t>: Flexibiliteit</w:t>
      </w:r>
      <w:bookmarkEnd w:id="15"/>
    </w:p>
    <w:p w14:paraId="4FF1A1A2" w14:textId="4A20F482" w:rsidR="00C23F10" w:rsidRPr="00583BED" w:rsidRDefault="0029638A" w:rsidP="00583BED">
      <w:pPr>
        <w:pStyle w:val="Broodtekst"/>
      </w:pPr>
      <w:r w:rsidRPr="00583BED">
        <w:t xml:space="preserve">Gezien de complexiteit en de onvoorspelbaarheid van het gedrag van de objecten en de onderzoeksvragen welke nog spelen in de planstudie kan het gebeuren dat gedurende de uitvoering </w:t>
      </w:r>
      <w:r w:rsidR="002D7425" w:rsidRPr="00583BED">
        <w:t xml:space="preserve">van </w:t>
      </w:r>
      <w:r w:rsidRPr="00583BED">
        <w:t xml:space="preserve">het werk scopewijzigingen optreden. </w:t>
      </w:r>
      <w:r w:rsidR="00C23F10" w:rsidRPr="00583BED">
        <w:t xml:space="preserve">Tevens sluit een 2-fasen aanpak het optreden van onvoorziene gebeurtenissen niet uit. </w:t>
      </w:r>
    </w:p>
    <w:p w14:paraId="272294B8" w14:textId="5077053B" w:rsidR="00ED66B3" w:rsidRPr="00583BED" w:rsidRDefault="004461CB" w:rsidP="00583BED">
      <w:pPr>
        <w:pStyle w:val="Broodtekst"/>
      </w:pPr>
      <w:r>
        <w:t xml:space="preserve">De </w:t>
      </w:r>
      <w:r w:rsidR="0029638A" w:rsidRPr="00583BED">
        <w:t xml:space="preserve">randvoorwaarden met betrekking tot de fasering van het werk </w:t>
      </w:r>
      <w:r w:rsidR="00A42F14">
        <w:t xml:space="preserve">zijn </w:t>
      </w:r>
      <w:r>
        <w:t>onderwerp van onderzoek</w:t>
      </w:r>
      <w:r w:rsidR="0029638A" w:rsidRPr="00583BED">
        <w:t xml:space="preserve">. De belangrijkste randvoorwaarde is dat het werk aanvangt met de renovatie van Weurt west. Daarnaast moet </w:t>
      </w:r>
      <w:r w:rsidR="00A42F14">
        <w:t xml:space="preserve">tijdens de </w:t>
      </w:r>
      <w:r w:rsidR="00043AD0">
        <w:t>uitvoering</w:t>
      </w:r>
      <w:r w:rsidR="00A42F14">
        <w:t xml:space="preserve">fase steeds </w:t>
      </w:r>
      <w:r w:rsidR="0029638A" w:rsidRPr="00583BED">
        <w:t xml:space="preserve">ofwel Weurt </w:t>
      </w:r>
      <w:r w:rsidR="00C23F10" w:rsidRPr="00583BED">
        <w:t>west ofwel Weurt oost beschikbaar zijn</w:t>
      </w:r>
      <w:r w:rsidR="0028440C">
        <w:t>.</w:t>
      </w:r>
    </w:p>
    <w:p w14:paraId="6A99C7D9" w14:textId="2804832A" w:rsidR="0029638A" w:rsidRPr="00583BED" w:rsidRDefault="0029638A" w:rsidP="00583BED">
      <w:pPr>
        <w:pStyle w:val="Broodtekst"/>
      </w:pPr>
    </w:p>
    <w:p w14:paraId="34B41C2A" w14:textId="78B2E409" w:rsidR="00C23F10" w:rsidRPr="00583BED" w:rsidRDefault="00C23F10" w:rsidP="001C23BA">
      <w:pPr>
        <w:pStyle w:val="Lijstalinea"/>
        <w:numPr>
          <w:ilvl w:val="0"/>
          <w:numId w:val="26"/>
        </w:numPr>
        <w:rPr>
          <w:rFonts w:eastAsia="Times New Roman"/>
          <w:szCs w:val="18"/>
        </w:rPr>
      </w:pPr>
      <w:r w:rsidRPr="00583BED">
        <w:rPr>
          <w:rFonts w:eastAsia="Times New Roman"/>
          <w:szCs w:val="18"/>
        </w:rPr>
        <w:t>Heeft u een voorkeur voor de volgorde waarin de objecten</w:t>
      </w:r>
      <w:r w:rsidR="00A616F1">
        <w:rPr>
          <w:rFonts w:eastAsia="Times New Roman"/>
          <w:szCs w:val="18"/>
        </w:rPr>
        <w:t>, uitgezonderd Weurt west,</w:t>
      </w:r>
      <w:r w:rsidRPr="00583BED">
        <w:rPr>
          <w:rFonts w:eastAsia="Times New Roman"/>
          <w:szCs w:val="18"/>
        </w:rPr>
        <w:t xml:space="preserve"> worden uitgevoerd?</w:t>
      </w:r>
    </w:p>
    <w:p w14:paraId="5CB4FA91" w14:textId="2A77B437" w:rsidR="00C23F10" w:rsidRDefault="00C23F10" w:rsidP="001C23BA">
      <w:pPr>
        <w:pStyle w:val="Lijstalinea"/>
        <w:numPr>
          <w:ilvl w:val="0"/>
          <w:numId w:val="26"/>
        </w:numPr>
        <w:rPr>
          <w:rFonts w:eastAsia="Times New Roman"/>
          <w:szCs w:val="18"/>
        </w:rPr>
      </w:pPr>
      <w:r w:rsidRPr="00583BED">
        <w:rPr>
          <w:rFonts w:eastAsia="Times New Roman"/>
          <w:szCs w:val="18"/>
        </w:rPr>
        <w:t>In hoeverre acht u gelijktijdige uitvoering van objecten haalbaar? Welke kansen en risico’s ziet u hierin?</w:t>
      </w:r>
      <w:r w:rsidR="00A616F1">
        <w:rPr>
          <w:rFonts w:eastAsia="Times New Roman"/>
          <w:szCs w:val="18"/>
        </w:rPr>
        <w:t xml:space="preserve"> NB deze vraag betreft alle objecten, niet alleen Weurt west en Weurt oost.</w:t>
      </w:r>
    </w:p>
    <w:p w14:paraId="2F7A43D2" w14:textId="77777777" w:rsidR="00C23F10" w:rsidRPr="00C23F10" w:rsidRDefault="00C23F10" w:rsidP="00C23F10">
      <w:pPr>
        <w:keepNext/>
        <w:keepLines/>
        <w:spacing w:line="240" w:lineRule="auto"/>
        <w:rPr>
          <w:rFonts w:eastAsia="Times New Roman"/>
          <w:szCs w:val="18"/>
        </w:rPr>
      </w:pPr>
    </w:p>
    <w:p w14:paraId="76CAA2DC" w14:textId="7DA64836" w:rsidR="0029638A" w:rsidRPr="00D71029" w:rsidRDefault="0029638A" w:rsidP="005B6620">
      <w:pPr>
        <w:pStyle w:val="Paragraaf"/>
        <w:keepNext/>
        <w:keepLines/>
        <w:numPr>
          <w:ilvl w:val="1"/>
          <w:numId w:val="17"/>
        </w:numPr>
      </w:pPr>
      <w:bookmarkStart w:id="16" w:name="_Toc156981553"/>
      <w:r w:rsidRPr="004A3E5F">
        <w:t xml:space="preserve">Thema </w:t>
      </w:r>
      <w:r w:rsidR="003D35FD">
        <w:t>5</w:t>
      </w:r>
      <w:r>
        <w:t>: Vervolgproces marktdialoog</w:t>
      </w:r>
      <w:bookmarkEnd w:id="16"/>
    </w:p>
    <w:p w14:paraId="56BF990C" w14:textId="30487613" w:rsidR="0093599C" w:rsidRDefault="00C23F10" w:rsidP="00130570">
      <w:pPr>
        <w:keepNext/>
        <w:keepLines/>
        <w:rPr>
          <w:szCs w:val="18"/>
        </w:rPr>
      </w:pPr>
      <w:r>
        <w:rPr>
          <w:szCs w:val="18"/>
        </w:rPr>
        <w:t>Met de opbrengst van deze dialoog gaat Rijkswaterstaat het contract voor VenR Weurt Heumen verder vorm geven. Op enig moment zal er weer behoefte ontstaan om de keuze met betrekking tot dit contract bij de markt te toetsen.</w:t>
      </w:r>
      <w:r w:rsidR="001C31E9">
        <w:rPr>
          <w:szCs w:val="18"/>
        </w:rPr>
        <w:t xml:space="preserve"> Rijkswaterstaat beoogt </w:t>
      </w:r>
      <w:r w:rsidR="008A4067">
        <w:rPr>
          <w:szCs w:val="18"/>
        </w:rPr>
        <w:t xml:space="preserve">in ieder geval </w:t>
      </w:r>
      <w:r w:rsidR="001C31E9">
        <w:rPr>
          <w:szCs w:val="18"/>
        </w:rPr>
        <w:t xml:space="preserve">de thema’s duurzaamheid, </w:t>
      </w:r>
      <w:r w:rsidR="008A4067">
        <w:rPr>
          <w:szCs w:val="18"/>
        </w:rPr>
        <w:t>BPKV en prijszekerheid op termijn</w:t>
      </w:r>
      <w:r w:rsidR="001C31E9">
        <w:rPr>
          <w:szCs w:val="18"/>
        </w:rPr>
        <w:t xml:space="preserve"> nader te bespreken</w:t>
      </w:r>
      <w:r w:rsidR="00ED66B3">
        <w:rPr>
          <w:szCs w:val="18"/>
        </w:rPr>
        <w:t>.</w:t>
      </w:r>
    </w:p>
    <w:p w14:paraId="1B071AED" w14:textId="77777777" w:rsidR="00ED66B3" w:rsidRDefault="00ED66B3" w:rsidP="00130570">
      <w:pPr>
        <w:keepNext/>
        <w:keepLines/>
        <w:rPr>
          <w:szCs w:val="18"/>
        </w:rPr>
      </w:pPr>
    </w:p>
    <w:p w14:paraId="7C75033A" w14:textId="491EC11A" w:rsidR="00C23F10" w:rsidRPr="005B6620" w:rsidRDefault="00C23F10" w:rsidP="001C23BA">
      <w:pPr>
        <w:pStyle w:val="Lijstalinea"/>
        <w:keepNext/>
        <w:keepLines/>
        <w:numPr>
          <w:ilvl w:val="0"/>
          <w:numId w:val="26"/>
        </w:numPr>
        <w:rPr>
          <w:rFonts w:eastAsia="Times New Roman"/>
          <w:szCs w:val="18"/>
        </w:rPr>
      </w:pPr>
      <w:r w:rsidRPr="005B6620">
        <w:rPr>
          <w:rFonts w:eastAsia="Times New Roman"/>
          <w:szCs w:val="18"/>
        </w:rPr>
        <w:t>In welke fase van de ontwikkeling van het contract wenst u weer geconsulteerd te worden?</w:t>
      </w:r>
    </w:p>
    <w:p w14:paraId="3BE2D731" w14:textId="0728488C" w:rsidR="00C23F10" w:rsidRPr="005B6620" w:rsidRDefault="00C23F10" w:rsidP="001C23BA">
      <w:pPr>
        <w:pStyle w:val="Lijstalinea"/>
        <w:keepNext/>
        <w:keepLines/>
        <w:numPr>
          <w:ilvl w:val="0"/>
          <w:numId w:val="26"/>
        </w:numPr>
        <w:rPr>
          <w:rFonts w:eastAsia="Times New Roman"/>
          <w:szCs w:val="18"/>
        </w:rPr>
      </w:pPr>
      <w:r w:rsidRPr="005B6620">
        <w:rPr>
          <w:rFonts w:eastAsia="Times New Roman"/>
          <w:szCs w:val="18"/>
        </w:rPr>
        <w:t>Bent u geïnteresseerd in een frequente consultatie? Zo ja, welke frequentie stelt u voor?</w:t>
      </w:r>
    </w:p>
    <w:p w14:paraId="2F73DA62" w14:textId="0DEA6BE1" w:rsidR="00C23F10" w:rsidRDefault="005B6620" w:rsidP="001C23BA">
      <w:pPr>
        <w:pStyle w:val="Lijstalinea"/>
        <w:keepNext/>
        <w:keepLines/>
        <w:numPr>
          <w:ilvl w:val="0"/>
          <w:numId w:val="26"/>
        </w:numPr>
        <w:rPr>
          <w:rFonts w:eastAsia="Times New Roman"/>
          <w:szCs w:val="18"/>
        </w:rPr>
      </w:pPr>
      <w:r w:rsidRPr="005B6620">
        <w:rPr>
          <w:rFonts w:eastAsia="Times New Roman"/>
          <w:szCs w:val="18"/>
        </w:rPr>
        <w:t>Zijn er specifieke onderwerpen waarover u geconsulteerd wilt worden?</w:t>
      </w:r>
    </w:p>
    <w:p w14:paraId="75395DB1" w14:textId="56825BD6" w:rsidR="00225AFA" w:rsidRDefault="00225AFA" w:rsidP="00655149">
      <w:pPr>
        <w:keepNext/>
        <w:keepLines/>
      </w:pPr>
    </w:p>
    <w:p w14:paraId="620A170D" w14:textId="3DF62BF4" w:rsidR="00225AFA" w:rsidRDefault="00225AFA" w:rsidP="00655149">
      <w:pPr>
        <w:keepNext/>
        <w:keepLines/>
      </w:pPr>
    </w:p>
    <w:sectPr w:rsidR="00225AFA" w:rsidSect="00143952">
      <w:type w:val="evenPage"/>
      <w:pgSz w:w="11905" w:h="16837"/>
      <w:pgMar w:top="2671" w:right="964" w:bottom="1134" w:left="209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AB42" w14:textId="77777777" w:rsidR="00480238" w:rsidRDefault="00480238">
      <w:r>
        <w:separator/>
      </w:r>
    </w:p>
  </w:endnote>
  <w:endnote w:type="continuationSeparator" w:id="0">
    <w:p w14:paraId="1A336AD1" w14:textId="77777777" w:rsidR="00480238" w:rsidRDefault="00480238">
      <w:r>
        <w:continuationSeparator/>
      </w:r>
    </w:p>
  </w:endnote>
  <w:endnote w:type="continuationNotice" w:id="1">
    <w:p w14:paraId="208C6B30" w14:textId="77777777" w:rsidR="00480238" w:rsidRDefault="004802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rta">
    <w:panose1 w:val="00000000000000000000"/>
    <w:charset w:val="02"/>
    <w:family w:val="decorative"/>
    <w:notTrueType/>
    <w:pitch w:val="variable"/>
    <w:sig w:usb0="00000000" w:usb1="10000000" w:usb2="00000000" w:usb3="00000000" w:csb0="80000000"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6F50C" w14:textId="77777777" w:rsidR="00480238" w:rsidRDefault="00480238">
      <w:r>
        <w:rPr>
          <w:color w:val="000000"/>
        </w:rPr>
        <w:separator/>
      </w:r>
    </w:p>
  </w:footnote>
  <w:footnote w:type="continuationSeparator" w:id="0">
    <w:p w14:paraId="2A036693" w14:textId="77777777" w:rsidR="00480238" w:rsidRDefault="00480238">
      <w:r>
        <w:continuationSeparator/>
      </w:r>
    </w:p>
  </w:footnote>
  <w:footnote w:type="continuationNotice" w:id="1">
    <w:p w14:paraId="3D51CCFF" w14:textId="77777777" w:rsidR="00480238" w:rsidRDefault="0048023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92E25F5E"/>
    <w:lvl w:ilvl="0">
      <w:start w:val="3"/>
      <w:numFmt w:val="decimal"/>
      <w:lvlText w:val="%1"/>
      <w:lvlJc w:val="left"/>
      <w:pPr>
        <w:tabs>
          <w:tab w:val="num" w:pos="0"/>
        </w:tabs>
        <w:ind w:left="0" w:hanging="1134"/>
      </w:pPr>
      <w:rPr>
        <w:rFonts w:ascii="Verdana" w:hAnsi="Verdana" w:cs="Times New Roman" w:hint="default"/>
        <w:b/>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7F027D7"/>
    <w:multiLevelType w:val="hybridMultilevel"/>
    <w:tmpl w:val="9FCE4EB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2750CF"/>
    <w:multiLevelType w:val="hybridMultilevel"/>
    <w:tmpl w:val="9FCE4EB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B95736D"/>
    <w:multiLevelType w:val="hybridMultilevel"/>
    <w:tmpl w:val="F3B638F2"/>
    <w:lvl w:ilvl="0" w:tplc="713C8508">
      <w:start w:val="2"/>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CF54CC2"/>
    <w:multiLevelType w:val="hybridMultilevel"/>
    <w:tmpl w:val="9FCE4EB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1F184F"/>
    <w:multiLevelType w:val="hybridMultilevel"/>
    <w:tmpl w:val="F5D213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7BA661A"/>
    <w:multiLevelType w:val="hybridMultilevel"/>
    <w:tmpl w:val="DE2CE41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7FF4097"/>
    <w:multiLevelType w:val="hybridMultilevel"/>
    <w:tmpl w:val="6A6C3A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E3635C1"/>
    <w:multiLevelType w:val="hybridMultilevel"/>
    <w:tmpl w:val="CE66C4CC"/>
    <w:lvl w:ilvl="0" w:tplc="04130001">
      <w:start w:val="1"/>
      <w:numFmt w:val="bullet"/>
      <w:lvlText w:val=""/>
      <w:lvlJc w:val="left"/>
      <w:pPr>
        <w:tabs>
          <w:tab w:val="num" w:pos="1068"/>
        </w:tabs>
        <w:ind w:left="1068" w:hanging="360"/>
      </w:pPr>
      <w:rPr>
        <w:rFonts w:ascii="Symbol" w:hAnsi="Symbol" w:hint="default"/>
      </w:rPr>
    </w:lvl>
    <w:lvl w:ilvl="1" w:tplc="DA767DF6">
      <w:start w:val="1"/>
      <w:numFmt w:val="decimal"/>
      <w:lvlText w:val="%2."/>
      <w:lvlJc w:val="left"/>
      <w:pPr>
        <w:tabs>
          <w:tab w:val="num" w:pos="1788"/>
        </w:tabs>
        <w:ind w:left="1788" w:hanging="360"/>
      </w:pPr>
    </w:lvl>
    <w:lvl w:ilvl="2" w:tplc="D1F07210">
      <w:start w:val="1"/>
      <w:numFmt w:val="decimal"/>
      <w:lvlText w:val="%3."/>
      <w:lvlJc w:val="left"/>
      <w:pPr>
        <w:tabs>
          <w:tab w:val="num" w:pos="2508"/>
        </w:tabs>
        <w:ind w:left="2508" w:hanging="360"/>
      </w:pPr>
    </w:lvl>
    <w:lvl w:ilvl="3" w:tplc="5298FD70">
      <w:start w:val="1"/>
      <w:numFmt w:val="decimal"/>
      <w:lvlText w:val="%4."/>
      <w:lvlJc w:val="left"/>
      <w:pPr>
        <w:tabs>
          <w:tab w:val="num" w:pos="3228"/>
        </w:tabs>
        <w:ind w:left="3228" w:hanging="360"/>
      </w:pPr>
    </w:lvl>
    <w:lvl w:ilvl="4" w:tplc="47CA752E" w:tentative="1">
      <w:start w:val="1"/>
      <w:numFmt w:val="decimal"/>
      <w:lvlText w:val="%5."/>
      <w:lvlJc w:val="left"/>
      <w:pPr>
        <w:tabs>
          <w:tab w:val="num" w:pos="3948"/>
        </w:tabs>
        <w:ind w:left="3948" w:hanging="360"/>
      </w:pPr>
    </w:lvl>
    <w:lvl w:ilvl="5" w:tplc="D7D00214" w:tentative="1">
      <w:start w:val="1"/>
      <w:numFmt w:val="decimal"/>
      <w:lvlText w:val="%6."/>
      <w:lvlJc w:val="left"/>
      <w:pPr>
        <w:tabs>
          <w:tab w:val="num" w:pos="4668"/>
        </w:tabs>
        <w:ind w:left="4668" w:hanging="360"/>
      </w:pPr>
    </w:lvl>
    <w:lvl w:ilvl="6" w:tplc="09A69118" w:tentative="1">
      <w:start w:val="1"/>
      <w:numFmt w:val="decimal"/>
      <w:lvlText w:val="%7."/>
      <w:lvlJc w:val="left"/>
      <w:pPr>
        <w:tabs>
          <w:tab w:val="num" w:pos="5388"/>
        </w:tabs>
        <w:ind w:left="5388" w:hanging="360"/>
      </w:pPr>
    </w:lvl>
    <w:lvl w:ilvl="7" w:tplc="D4902E0C" w:tentative="1">
      <w:start w:val="1"/>
      <w:numFmt w:val="decimal"/>
      <w:lvlText w:val="%8."/>
      <w:lvlJc w:val="left"/>
      <w:pPr>
        <w:tabs>
          <w:tab w:val="num" w:pos="6108"/>
        </w:tabs>
        <w:ind w:left="6108" w:hanging="360"/>
      </w:pPr>
    </w:lvl>
    <w:lvl w:ilvl="8" w:tplc="F30A4A52" w:tentative="1">
      <w:start w:val="1"/>
      <w:numFmt w:val="decimal"/>
      <w:lvlText w:val="%9."/>
      <w:lvlJc w:val="left"/>
      <w:pPr>
        <w:tabs>
          <w:tab w:val="num" w:pos="6828"/>
        </w:tabs>
        <w:ind w:left="6828" w:hanging="360"/>
      </w:pPr>
    </w:lvl>
  </w:abstractNum>
  <w:abstractNum w:abstractNumId="20" w15:restartNumberingAfterBreak="0">
    <w:nsid w:val="1F9959F4"/>
    <w:multiLevelType w:val="hybridMultilevel"/>
    <w:tmpl w:val="58983A86"/>
    <w:lvl w:ilvl="0" w:tplc="B4A48F18">
      <w:start w:val="1"/>
      <w:numFmt w:val="bullet"/>
      <w:lvlText w:val=""/>
      <w:lvlJc w:val="left"/>
      <w:pPr>
        <w:tabs>
          <w:tab w:val="num" w:pos="720"/>
        </w:tabs>
        <w:ind w:left="720" w:hanging="360"/>
      </w:pPr>
      <w:rPr>
        <w:rFonts w:ascii="Symbol" w:hAnsi="Symbol" w:hint="default"/>
      </w:rPr>
    </w:lvl>
    <w:lvl w:ilvl="1" w:tplc="0EC62D70">
      <w:start w:val="1"/>
      <w:numFmt w:val="bullet"/>
      <w:lvlText w:val=""/>
      <w:lvlJc w:val="left"/>
      <w:pPr>
        <w:tabs>
          <w:tab w:val="num" w:pos="1440"/>
        </w:tabs>
        <w:ind w:left="1440" w:hanging="360"/>
      </w:pPr>
      <w:rPr>
        <w:rFonts w:ascii="Symbol" w:hAnsi="Symbol" w:hint="default"/>
      </w:rPr>
    </w:lvl>
    <w:lvl w:ilvl="2" w:tplc="69A0B988" w:tentative="1">
      <w:start w:val="1"/>
      <w:numFmt w:val="bullet"/>
      <w:lvlText w:val=""/>
      <w:lvlJc w:val="left"/>
      <w:pPr>
        <w:tabs>
          <w:tab w:val="num" w:pos="2160"/>
        </w:tabs>
        <w:ind w:left="2160" w:hanging="360"/>
      </w:pPr>
      <w:rPr>
        <w:rFonts w:ascii="Symbol" w:hAnsi="Symbol" w:hint="default"/>
      </w:rPr>
    </w:lvl>
    <w:lvl w:ilvl="3" w:tplc="4232E102" w:tentative="1">
      <w:start w:val="1"/>
      <w:numFmt w:val="bullet"/>
      <w:lvlText w:val=""/>
      <w:lvlJc w:val="left"/>
      <w:pPr>
        <w:tabs>
          <w:tab w:val="num" w:pos="2880"/>
        </w:tabs>
        <w:ind w:left="2880" w:hanging="360"/>
      </w:pPr>
      <w:rPr>
        <w:rFonts w:ascii="Symbol" w:hAnsi="Symbol" w:hint="default"/>
      </w:rPr>
    </w:lvl>
    <w:lvl w:ilvl="4" w:tplc="AF48F460" w:tentative="1">
      <w:start w:val="1"/>
      <w:numFmt w:val="bullet"/>
      <w:lvlText w:val=""/>
      <w:lvlJc w:val="left"/>
      <w:pPr>
        <w:tabs>
          <w:tab w:val="num" w:pos="3600"/>
        </w:tabs>
        <w:ind w:left="3600" w:hanging="360"/>
      </w:pPr>
      <w:rPr>
        <w:rFonts w:ascii="Symbol" w:hAnsi="Symbol" w:hint="default"/>
      </w:rPr>
    </w:lvl>
    <w:lvl w:ilvl="5" w:tplc="B0647C16" w:tentative="1">
      <w:start w:val="1"/>
      <w:numFmt w:val="bullet"/>
      <w:lvlText w:val=""/>
      <w:lvlJc w:val="left"/>
      <w:pPr>
        <w:tabs>
          <w:tab w:val="num" w:pos="4320"/>
        </w:tabs>
        <w:ind w:left="4320" w:hanging="360"/>
      </w:pPr>
      <w:rPr>
        <w:rFonts w:ascii="Symbol" w:hAnsi="Symbol" w:hint="default"/>
      </w:rPr>
    </w:lvl>
    <w:lvl w:ilvl="6" w:tplc="E1EA86E8" w:tentative="1">
      <w:start w:val="1"/>
      <w:numFmt w:val="bullet"/>
      <w:lvlText w:val=""/>
      <w:lvlJc w:val="left"/>
      <w:pPr>
        <w:tabs>
          <w:tab w:val="num" w:pos="5040"/>
        </w:tabs>
        <w:ind w:left="5040" w:hanging="360"/>
      </w:pPr>
      <w:rPr>
        <w:rFonts w:ascii="Symbol" w:hAnsi="Symbol" w:hint="default"/>
      </w:rPr>
    </w:lvl>
    <w:lvl w:ilvl="7" w:tplc="D5C6A144" w:tentative="1">
      <w:start w:val="1"/>
      <w:numFmt w:val="bullet"/>
      <w:lvlText w:val=""/>
      <w:lvlJc w:val="left"/>
      <w:pPr>
        <w:tabs>
          <w:tab w:val="num" w:pos="5760"/>
        </w:tabs>
        <w:ind w:left="5760" w:hanging="360"/>
      </w:pPr>
      <w:rPr>
        <w:rFonts w:ascii="Symbol" w:hAnsi="Symbol" w:hint="default"/>
      </w:rPr>
    </w:lvl>
    <w:lvl w:ilvl="8" w:tplc="40A45218"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2" w15:restartNumberingAfterBreak="0">
    <w:nsid w:val="29A021A4"/>
    <w:multiLevelType w:val="hybridMultilevel"/>
    <w:tmpl w:val="7B9ED0F4"/>
    <w:lvl w:ilvl="0" w:tplc="04130001">
      <w:start w:val="1"/>
      <w:numFmt w:val="bullet"/>
      <w:lvlText w:val=""/>
      <w:lvlJc w:val="left"/>
      <w:pPr>
        <w:tabs>
          <w:tab w:val="num" w:pos="1068"/>
        </w:tabs>
        <w:ind w:left="1068" w:hanging="360"/>
      </w:pPr>
      <w:rPr>
        <w:rFonts w:ascii="Symbol" w:hAnsi="Symbol" w:hint="default"/>
      </w:rPr>
    </w:lvl>
    <w:lvl w:ilvl="1" w:tplc="DA767DF6">
      <w:start w:val="1"/>
      <w:numFmt w:val="decimal"/>
      <w:lvlText w:val="%2."/>
      <w:lvlJc w:val="left"/>
      <w:pPr>
        <w:tabs>
          <w:tab w:val="num" w:pos="1788"/>
        </w:tabs>
        <w:ind w:left="1788" w:hanging="360"/>
      </w:pPr>
    </w:lvl>
    <w:lvl w:ilvl="2" w:tplc="D1F07210">
      <w:start w:val="1"/>
      <w:numFmt w:val="decimal"/>
      <w:lvlText w:val="%3."/>
      <w:lvlJc w:val="left"/>
      <w:pPr>
        <w:tabs>
          <w:tab w:val="num" w:pos="2508"/>
        </w:tabs>
        <w:ind w:left="2508" w:hanging="360"/>
      </w:pPr>
    </w:lvl>
    <w:lvl w:ilvl="3" w:tplc="5298FD70">
      <w:start w:val="1"/>
      <w:numFmt w:val="decimal"/>
      <w:lvlText w:val="%4."/>
      <w:lvlJc w:val="left"/>
      <w:pPr>
        <w:tabs>
          <w:tab w:val="num" w:pos="3228"/>
        </w:tabs>
        <w:ind w:left="3228" w:hanging="360"/>
      </w:pPr>
    </w:lvl>
    <w:lvl w:ilvl="4" w:tplc="47CA752E" w:tentative="1">
      <w:start w:val="1"/>
      <w:numFmt w:val="decimal"/>
      <w:lvlText w:val="%5."/>
      <w:lvlJc w:val="left"/>
      <w:pPr>
        <w:tabs>
          <w:tab w:val="num" w:pos="3948"/>
        </w:tabs>
        <w:ind w:left="3948" w:hanging="360"/>
      </w:pPr>
    </w:lvl>
    <w:lvl w:ilvl="5" w:tplc="D7D00214" w:tentative="1">
      <w:start w:val="1"/>
      <w:numFmt w:val="decimal"/>
      <w:lvlText w:val="%6."/>
      <w:lvlJc w:val="left"/>
      <w:pPr>
        <w:tabs>
          <w:tab w:val="num" w:pos="4668"/>
        </w:tabs>
        <w:ind w:left="4668" w:hanging="360"/>
      </w:pPr>
    </w:lvl>
    <w:lvl w:ilvl="6" w:tplc="09A69118" w:tentative="1">
      <w:start w:val="1"/>
      <w:numFmt w:val="decimal"/>
      <w:lvlText w:val="%7."/>
      <w:lvlJc w:val="left"/>
      <w:pPr>
        <w:tabs>
          <w:tab w:val="num" w:pos="5388"/>
        </w:tabs>
        <w:ind w:left="5388" w:hanging="360"/>
      </w:pPr>
    </w:lvl>
    <w:lvl w:ilvl="7" w:tplc="D4902E0C" w:tentative="1">
      <w:start w:val="1"/>
      <w:numFmt w:val="decimal"/>
      <w:lvlText w:val="%8."/>
      <w:lvlJc w:val="left"/>
      <w:pPr>
        <w:tabs>
          <w:tab w:val="num" w:pos="6108"/>
        </w:tabs>
        <w:ind w:left="6108" w:hanging="360"/>
      </w:pPr>
    </w:lvl>
    <w:lvl w:ilvl="8" w:tplc="F30A4A52" w:tentative="1">
      <w:start w:val="1"/>
      <w:numFmt w:val="decimal"/>
      <w:lvlText w:val="%9."/>
      <w:lvlJc w:val="left"/>
      <w:pPr>
        <w:tabs>
          <w:tab w:val="num" w:pos="6828"/>
        </w:tabs>
        <w:ind w:left="6828" w:hanging="360"/>
      </w:pPr>
    </w:lvl>
  </w:abstractNum>
  <w:abstractNum w:abstractNumId="23" w15:restartNumberingAfterBreak="0">
    <w:nsid w:val="2A2F0665"/>
    <w:multiLevelType w:val="hybridMultilevel"/>
    <w:tmpl w:val="DBD2A8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15:restartNumberingAfterBreak="0">
    <w:nsid w:val="2FEF258C"/>
    <w:multiLevelType w:val="hybridMultilevel"/>
    <w:tmpl w:val="67AC8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8"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9" w15:restartNumberingAfterBreak="0">
    <w:nsid w:val="3C7527F3"/>
    <w:multiLevelType w:val="hybridMultilevel"/>
    <w:tmpl w:val="4C248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2057343"/>
    <w:multiLevelType w:val="hybridMultilevel"/>
    <w:tmpl w:val="66E4ADF2"/>
    <w:lvl w:ilvl="0" w:tplc="04130001">
      <w:start w:val="1"/>
      <w:numFmt w:val="bullet"/>
      <w:lvlText w:val=""/>
      <w:lvlJc w:val="left"/>
      <w:pPr>
        <w:tabs>
          <w:tab w:val="num" w:pos="1068"/>
        </w:tabs>
        <w:ind w:left="1068" w:hanging="360"/>
      </w:pPr>
      <w:rPr>
        <w:rFonts w:ascii="Symbol" w:hAnsi="Symbol" w:hint="default"/>
      </w:rPr>
    </w:lvl>
    <w:lvl w:ilvl="1" w:tplc="DA767DF6">
      <w:start w:val="1"/>
      <w:numFmt w:val="decimal"/>
      <w:lvlText w:val="%2."/>
      <w:lvlJc w:val="left"/>
      <w:pPr>
        <w:tabs>
          <w:tab w:val="num" w:pos="1788"/>
        </w:tabs>
        <w:ind w:left="1788" w:hanging="360"/>
      </w:pPr>
    </w:lvl>
    <w:lvl w:ilvl="2" w:tplc="D1F07210">
      <w:start w:val="1"/>
      <w:numFmt w:val="decimal"/>
      <w:lvlText w:val="%3."/>
      <w:lvlJc w:val="left"/>
      <w:pPr>
        <w:tabs>
          <w:tab w:val="num" w:pos="2508"/>
        </w:tabs>
        <w:ind w:left="2508" w:hanging="360"/>
      </w:pPr>
    </w:lvl>
    <w:lvl w:ilvl="3" w:tplc="5298FD70">
      <w:start w:val="1"/>
      <w:numFmt w:val="decimal"/>
      <w:lvlText w:val="%4."/>
      <w:lvlJc w:val="left"/>
      <w:pPr>
        <w:tabs>
          <w:tab w:val="num" w:pos="3228"/>
        </w:tabs>
        <w:ind w:left="3228" w:hanging="360"/>
      </w:pPr>
    </w:lvl>
    <w:lvl w:ilvl="4" w:tplc="47CA752E" w:tentative="1">
      <w:start w:val="1"/>
      <w:numFmt w:val="decimal"/>
      <w:lvlText w:val="%5."/>
      <w:lvlJc w:val="left"/>
      <w:pPr>
        <w:tabs>
          <w:tab w:val="num" w:pos="3948"/>
        </w:tabs>
        <w:ind w:left="3948" w:hanging="360"/>
      </w:pPr>
    </w:lvl>
    <w:lvl w:ilvl="5" w:tplc="D7D00214" w:tentative="1">
      <w:start w:val="1"/>
      <w:numFmt w:val="decimal"/>
      <w:lvlText w:val="%6."/>
      <w:lvlJc w:val="left"/>
      <w:pPr>
        <w:tabs>
          <w:tab w:val="num" w:pos="4668"/>
        </w:tabs>
        <w:ind w:left="4668" w:hanging="360"/>
      </w:pPr>
    </w:lvl>
    <w:lvl w:ilvl="6" w:tplc="09A69118" w:tentative="1">
      <w:start w:val="1"/>
      <w:numFmt w:val="decimal"/>
      <w:lvlText w:val="%7."/>
      <w:lvlJc w:val="left"/>
      <w:pPr>
        <w:tabs>
          <w:tab w:val="num" w:pos="5388"/>
        </w:tabs>
        <w:ind w:left="5388" w:hanging="360"/>
      </w:pPr>
    </w:lvl>
    <w:lvl w:ilvl="7" w:tplc="D4902E0C" w:tentative="1">
      <w:start w:val="1"/>
      <w:numFmt w:val="decimal"/>
      <w:lvlText w:val="%8."/>
      <w:lvlJc w:val="left"/>
      <w:pPr>
        <w:tabs>
          <w:tab w:val="num" w:pos="6108"/>
        </w:tabs>
        <w:ind w:left="6108" w:hanging="360"/>
      </w:pPr>
    </w:lvl>
    <w:lvl w:ilvl="8" w:tplc="F30A4A52" w:tentative="1">
      <w:start w:val="1"/>
      <w:numFmt w:val="decimal"/>
      <w:lvlText w:val="%9."/>
      <w:lvlJc w:val="left"/>
      <w:pPr>
        <w:tabs>
          <w:tab w:val="num" w:pos="6828"/>
        </w:tabs>
        <w:ind w:left="6828" w:hanging="360"/>
      </w:pPr>
    </w:lvl>
  </w:abstractNum>
  <w:abstractNum w:abstractNumId="31"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5017575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4BD2C35"/>
    <w:multiLevelType w:val="hybridMultilevel"/>
    <w:tmpl w:val="1740689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6" w15:restartNumberingAfterBreak="0">
    <w:nsid w:val="5CB9651D"/>
    <w:multiLevelType w:val="hybridMultilevel"/>
    <w:tmpl w:val="CBC26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8" w15:restartNumberingAfterBreak="0">
    <w:nsid w:val="5EFC33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FC316A0"/>
    <w:multiLevelType w:val="hybridMultilevel"/>
    <w:tmpl w:val="3E62A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B5011D"/>
    <w:multiLevelType w:val="hybridMultilevel"/>
    <w:tmpl w:val="C9ECE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980D7F"/>
    <w:multiLevelType w:val="hybridMultilevel"/>
    <w:tmpl w:val="082CF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3" w15:restartNumberingAfterBreak="0">
    <w:nsid w:val="70A83AC3"/>
    <w:multiLevelType w:val="hybridMultilevel"/>
    <w:tmpl w:val="76DEC608"/>
    <w:lvl w:ilvl="0" w:tplc="C7581E90">
      <w:start w:val="1"/>
      <w:numFmt w:val="decimal"/>
      <w:lvlText w:val="%1."/>
      <w:lvlJc w:val="left"/>
      <w:pPr>
        <w:tabs>
          <w:tab w:val="num" w:pos="720"/>
        </w:tabs>
        <w:ind w:left="720" w:hanging="360"/>
      </w:pPr>
    </w:lvl>
    <w:lvl w:ilvl="1" w:tplc="DA767DF6">
      <w:start w:val="1"/>
      <w:numFmt w:val="decimal"/>
      <w:lvlText w:val="%2."/>
      <w:lvlJc w:val="left"/>
      <w:pPr>
        <w:tabs>
          <w:tab w:val="num" w:pos="1440"/>
        </w:tabs>
        <w:ind w:left="1440" w:hanging="360"/>
      </w:pPr>
    </w:lvl>
    <w:lvl w:ilvl="2" w:tplc="D1F07210">
      <w:start w:val="1"/>
      <w:numFmt w:val="decimal"/>
      <w:lvlText w:val="%3."/>
      <w:lvlJc w:val="left"/>
      <w:pPr>
        <w:tabs>
          <w:tab w:val="num" w:pos="2160"/>
        </w:tabs>
        <w:ind w:left="2160" w:hanging="360"/>
      </w:pPr>
    </w:lvl>
    <w:lvl w:ilvl="3" w:tplc="5298FD70">
      <w:start w:val="1"/>
      <w:numFmt w:val="decimal"/>
      <w:lvlText w:val="%4."/>
      <w:lvlJc w:val="left"/>
      <w:pPr>
        <w:tabs>
          <w:tab w:val="num" w:pos="2880"/>
        </w:tabs>
        <w:ind w:left="2880" w:hanging="360"/>
      </w:pPr>
    </w:lvl>
    <w:lvl w:ilvl="4" w:tplc="47CA752E" w:tentative="1">
      <w:start w:val="1"/>
      <w:numFmt w:val="decimal"/>
      <w:lvlText w:val="%5."/>
      <w:lvlJc w:val="left"/>
      <w:pPr>
        <w:tabs>
          <w:tab w:val="num" w:pos="3600"/>
        </w:tabs>
        <w:ind w:left="3600" w:hanging="360"/>
      </w:pPr>
    </w:lvl>
    <w:lvl w:ilvl="5" w:tplc="D7D00214" w:tentative="1">
      <w:start w:val="1"/>
      <w:numFmt w:val="decimal"/>
      <w:lvlText w:val="%6."/>
      <w:lvlJc w:val="left"/>
      <w:pPr>
        <w:tabs>
          <w:tab w:val="num" w:pos="4320"/>
        </w:tabs>
        <w:ind w:left="4320" w:hanging="360"/>
      </w:pPr>
    </w:lvl>
    <w:lvl w:ilvl="6" w:tplc="09A69118" w:tentative="1">
      <w:start w:val="1"/>
      <w:numFmt w:val="decimal"/>
      <w:lvlText w:val="%7."/>
      <w:lvlJc w:val="left"/>
      <w:pPr>
        <w:tabs>
          <w:tab w:val="num" w:pos="5040"/>
        </w:tabs>
        <w:ind w:left="5040" w:hanging="360"/>
      </w:pPr>
    </w:lvl>
    <w:lvl w:ilvl="7" w:tplc="D4902E0C" w:tentative="1">
      <w:start w:val="1"/>
      <w:numFmt w:val="decimal"/>
      <w:lvlText w:val="%8."/>
      <w:lvlJc w:val="left"/>
      <w:pPr>
        <w:tabs>
          <w:tab w:val="num" w:pos="5760"/>
        </w:tabs>
        <w:ind w:left="5760" w:hanging="360"/>
      </w:pPr>
    </w:lvl>
    <w:lvl w:ilvl="8" w:tplc="F30A4A52" w:tentative="1">
      <w:start w:val="1"/>
      <w:numFmt w:val="decimal"/>
      <w:lvlText w:val="%9."/>
      <w:lvlJc w:val="left"/>
      <w:pPr>
        <w:tabs>
          <w:tab w:val="num" w:pos="6480"/>
        </w:tabs>
        <w:ind w:left="6480" w:hanging="360"/>
      </w:pPr>
    </w:lvl>
  </w:abstractNum>
  <w:abstractNum w:abstractNumId="44" w15:restartNumberingAfterBreak="0">
    <w:nsid w:val="7198243A"/>
    <w:multiLevelType w:val="hybridMultilevel"/>
    <w:tmpl w:val="712645B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39B5BC6"/>
    <w:multiLevelType w:val="hybridMultilevel"/>
    <w:tmpl w:val="1F824738"/>
    <w:lvl w:ilvl="0" w:tplc="C770A79E">
      <w:start w:val="1"/>
      <w:numFmt w:val="bullet"/>
      <w:lvlText w:val="•"/>
      <w:lvlJc w:val="left"/>
      <w:pPr>
        <w:tabs>
          <w:tab w:val="num" w:pos="720"/>
        </w:tabs>
        <w:ind w:left="720" w:hanging="360"/>
      </w:pPr>
      <w:rPr>
        <w:rFonts w:ascii="Arial" w:hAnsi="Arial" w:hint="default"/>
      </w:rPr>
    </w:lvl>
    <w:lvl w:ilvl="1" w:tplc="E256783E" w:tentative="1">
      <w:start w:val="1"/>
      <w:numFmt w:val="bullet"/>
      <w:lvlText w:val="•"/>
      <w:lvlJc w:val="left"/>
      <w:pPr>
        <w:tabs>
          <w:tab w:val="num" w:pos="1440"/>
        </w:tabs>
        <w:ind w:left="1440" w:hanging="360"/>
      </w:pPr>
      <w:rPr>
        <w:rFonts w:ascii="Arial" w:hAnsi="Arial" w:hint="default"/>
      </w:rPr>
    </w:lvl>
    <w:lvl w:ilvl="2" w:tplc="5E38F004" w:tentative="1">
      <w:start w:val="1"/>
      <w:numFmt w:val="bullet"/>
      <w:lvlText w:val="•"/>
      <w:lvlJc w:val="left"/>
      <w:pPr>
        <w:tabs>
          <w:tab w:val="num" w:pos="2160"/>
        </w:tabs>
        <w:ind w:left="2160" w:hanging="360"/>
      </w:pPr>
      <w:rPr>
        <w:rFonts w:ascii="Arial" w:hAnsi="Arial" w:hint="default"/>
      </w:rPr>
    </w:lvl>
    <w:lvl w:ilvl="3" w:tplc="69242228" w:tentative="1">
      <w:start w:val="1"/>
      <w:numFmt w:val="bullet"/>
      <w:lvlText w:val="•"/>
      <w:lvlJc w:val="left"/>
      <w:pPr>
        <w:tabs>
          <w:tab w:val="num" w:pos="2880"/>
        </w:tabs>
        <w:ind w:left="2880" w:hanging="360"/>
      </w:pPr>
      <w:rPr>
        <w:rFonts w:ascii="Arial" w:hAnsi="Arial" w:hint="default"/>
      </w:rPr>
    </w:lvl>
    <w:lvl w:ilvl="4" w:tplc="A8208318" w:tentative="1">
      <w:start w:val="1"/>
      <w:numFmt w:val="bullet"/>
      <w:lvlText w:val="•"/>
      <w:lvlJc w:val="left"/>
      <w:pPr>
        <w:tabs>
          <w:tab w:val="num" w:pos="3600"/>
        </w:tabs>
        <w:ind w:left="3600" w:hanging="360"/>
      </w:pPr>
      <w:rPr>
        <w:rFonts w:ascii="Arial" w:hAnsi="Arial" w:hint="default"/>
      </w:rPr>
    </w:lvl>
    <w:lvl w:ilvl="5" w:tplc="A5DEABCA" w:tentative="1">
      <w:start w:val="1"/>
      <w:numFmt w:val="bullet"/>
      <w:lvlText w:val="•"/>
      <w:lvlJc w:val="left"/>
      <w:pPr>
        <w:tabs>
          <w:tab w:val="num" w:pos="4320"/>
        </w:tabs>
        <w:ind w:left="4320" w:hanging="360"/>
      </w:pPr>
      <w:rPr>
        <w:rFonts w:ascii="Arial" w:hAnsi="Arial" w:hint="default"/>
      </w:rPr>
    </w:lvl>
    <w:lvl w:ilvl="6" w:tplc="EDEAD35C" w:tentative="1">
      <w:start w:val="1"/>
      <w:numFmt w:val="bullet"/>
      <w:lvlText w:val="•"/>
      <w:lvlJc w:val="left"/>
      <w:pPr>
        <w:tabs>
          <w:tab w:val="num" w:pos="5040"/>
        </w:tabs>
        <w:ind w:left="5040" w:hanging="360"/>
      </w:pPr>
      <w:rPr>
        <w:rFonts w:ascii="Arial" w:hAnsi="Arial" w:hint="default"/>
      </w:rPr>
    </w:lvl>
    <w:lvl w:ilvl="7" w:tplc="18EC7E38" w:tentative="1">
      <w:start w:val="1"/>
      <w:numFmt w:val="bullet"/>
      <w:lvlText w:val="•"/>
      <w:lvlJc w:val="left"/>
      <w:pPr>
        <w:tabs>
          <w:tab w:val="num" w:pos="5760"/>
        </w:tabs>
        <w:ind w:left="5760" w:hanging="360"/>
      </w:pPr>
      <w:rPr>
        <w:rFonts w:ascii="Arial" w:hAnsi="Arial" w:hint="default"/>
      </w:rPr>
    </w:lvl>
    <w:lvl w:ilvl="8" w:tplc="9872D2D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47" w15:restartNumberingAfterBreak="0">
    <w:nsid w:val="7CB02CD7"/>
    <w:multiLevelType w:val="hybridMultilevel"/>
    <w:tmpl w:val="5C2C7E3E"/>
    <w:lvl w:ilvl="0" w:tplc="858A827C">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42"/>
  </w:num>
  <w:num w:numId="13">
    <w:abstractNumId w:val="35"/>
  </w:num>
  <w:num w:numId="14">
    <w:abstractNumId w:val="16"/>
  </w:num>
  <w:num w:numId="15">
    <w:abstractNumId w:val="27"/>
  </w:num>
  <w:num w:numId="16">
    <w:abstractNumId w:val="37"/>
  </w:num>
  <w:num w:numId="17">
    <w:abstractNumId w:val="10"/>
  </w:num>
  <w:num w:numId="18">
    <w:abstractNumId w:val="46"/>
  </w:num>
  <w:num w:numId="19">
    <w:abstractNumId w:val="32"/>
  </w:num>
  <w:num w:numId="20">
    <w:abstractNumId w:val="24"/>
  </w:num>
  <w:num w:numId="21">
    <w:abstractNumId w:val="21"/>
  </w:num>
  <w:num w:numId="22">
    <w:abstractNumId w:val="31"/>
  </w:num>
  <w:num w:numId="23">
    <w:abstractNumId w:val="26"/>
  </w:num>
  <w:num w:numId="24">
    <w:abstractNumId w:val="23"/>
  </w:num>
  <w:num w:numId="25">
    <w:abstractNumId w:val="18"/>
  </w:num>
  <w:num w:numId="26">
    <w:abstractNumId w:val="17"/>
  </w:num>
  <w:num w:numId="27">
    <w:abstractNumId w:val="12"/>
  </w:num>
  <w:num w:numId="28">
    <w:abstractNumId w:val="14"/>
  </w:num>
  <w:num w:numId="29">
    <w:abstractNumId w:val="25"/>
  </w:num>
  <w:num w:numId="30">
    <w:abstractNumId w:val="15"/>
  </w:num>
  <w:num w:numId="31">
    <w:abstractNumId w:val="36"/>
  </w:num>
  <w:num w:numId="32">
    <w:abstractNumId w:val="13"/>
  </w:num>
  <w:num w:numId="33">
    <w:abstractNumId w:val="11"/>
  </w:num>
  <w:num w:numId="34">
    <w:abstractNumId w:val="40"/>
  </w:num>
  <w:num w:numId="35">
    <w:abstractNumId w:val="41"/>
  </w:num>
  <w:num w:numId="36">
    <w:abstractNumId w:val="44"/>
  </w:num>
  <w:num w:numId="37">
    <w:abstractNumId w:val="30"/>
  </w:num>
  <w:num w:numId="38">
    <w:abstractNumId w:val="19"/>
  </w:num>
  <w:num w:numId="39">
    <w:abstractNumId w:val="22"/>
  </w:num>
  <w:num w:numId="40">
    <w:abstractNumId w:val="43"/>
  </w:num>
  <w:num w:numId="41">
    <w:abstractNumId w:val="33"/>
  </w:num>
  <w:num w:numId="42">
    <w:abstractNumId w:val="38"/>
  </w:num>
  <w:num w:numId="43">
    <w:abstractNumId w:val="29"/>
  </w:num>
  <w:num w:numId="44">
    <w:abstractNumId w:val="34"/>
  </w:num>
  <w:num w:numId="45">
    <w:abstractNumId w:val="47"/>
  </w:num>
  <w:num w:numId="46">
    <w:abstractNumId w:val="20"/>
  </w:num>
  <w:num w:numId="47">
    <w:abstractNumId w:val="45"/>
  </w:num>
  <w:num w:numId="48">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evenAndOddHeaders/>
  <w:drawingGridHorizontalSpacing w:val="120"/>
  <w:displayHorizontalDrawingGridEvery w:val="2"/>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82"/>
    <w:rsid w:val="00000C38"/>
    <w:rsid w:val="000040E6"/>
    <w:rsid w:val="0000424F"/>
    <w:rsid w:val="000067F6"/>
    <w:rsid w:val="00006A58"/>
    <w:rsid w:val="00007829"/>
    <w:rsid w:val="00007A2F"/>
    <w:rsid w:val="000129A3"/>
    <w:rsid w:val="00015450"/>
    <w:rsid w:val="00015A8A"/>
    <w:rsid w:val="00017066"/>
    <w:rsid w:val="000257E4"/>
    <w:rsid w:val="00025C6F"/>
    <w:rsid w:val="00025FA5"/>
    <w:rsid w:val="000268CC"/>
    <w:rsid w:val="00031F98"/>
    <w:rsid w:val="000349A5"/>
    <w:rsid w:val="00040E24"/>
    <w:rsid w:val="00041A75"/>
    <w:rsid w:val="00042152"/>
    <w:rsid w:val="00042FBF"/>
    <w:rsid w:val="00043AD0"/>
    <w:rsid w:val="00044C1F"/>
    <w:rsid w:val="0004511E"/>
    <w:rsid w:val="000452F7"/>
    <w:rsid w:val="00050C69"/>
    <w:rsid w:val="0005356B"/>
    <w:rsid w:val="000540B6"/>
    <w:rsid w:val="000558E7"/>
    <w:rsid w:val="0006289B"/>
    <w:rsid w:val="00062A40"/>
    <w:rsid w:val="00064A5A"/>
    <w:rsid w:val="000664CC"/>
    <w:rsid w:val="00066A32"/>
    <w:rsid w:val="00066BB3"/>
    <w:rsid w:val="00071AA3"/>
    <w:rsid w:val="00074DBE"/>
    <w:rsid w:val="00075B8A"/>
    <w:rsid w:val="000776CC"/>
    <w:rsid w:val="000803B1"/>
    <w:rsid w:val="000826F3"/>
    <w:rsid w:val="00082D59"/>
    <w:rsid w:val="00082DDC"/>
    <w:rsid w:val="0008357E"/>
    <w:rsid w:val="00083C60"/>
    <w:rsid w:val="00083F30"/>
    <w:rsid w:val="0008456D"/>
    <w:rsid w:val="000851E5"/>
    <w:rsid w:val="000862B8"/>
    <w:rsid w:val="00091278"/>
    <w:rsid w:val="00094680"/>
    <w:rsid w:val="00094CEC"/>
    <w:rsid w:val="00094E2B"/>
    <w:rsid w:val="0009690A"/>
    <w:rsid w:val="00096990"/>
    <w:rsid w:val="000979D7"/>
    <w:rsid w:val="000A1195"/>
    <w:rsid w:val="000A2702"/>
    <w:rsid w:val="000A2989"/>
    <w:rsid w:val="000A4E67"/>
    <w:rsid w:val="000A5650"/>
    <w:rsid w:val="000A6ACE"/>
    <w:rsid w:val="000A6FAA"/>
    <w:rsid w:val="000B0BBE"/>
    <w:rsid w:val="000B0E31"/>
    <w:rsid w:val="000B109B"/>
    <w:rsid w:val="000B1318"/>
    <w:rsid w:val="000B2E7E"/>
    <w:rsid w:val="000B438A"/>
    <w:rsid w:val="000B52B1"/>
    <w:rsid w:val="000B54AE"/>
    <w:rsid w:val="000B7517"/>
    <w:rsid w:val="000B7F40"/>
    <w:rsid w:val="000C063F"/>
    <w:rsid w:val="000C333C"/>
    <w:rsid w:val="000C3C07"/>
    <w:rsid w:val="000C446F"/>
    <w:rsid w:val="000C5D85"/>
    <w:rsid w:val="000C6080"/>
    <w:rsid w:val="000D45F9"/>
    <w:rsid w:val="000E1B7D"/>
    <w:rsid w:val="000E1F06"/>
    <w:rsid w:val="000E2274"/>
    <w:rsid w:val="000E2E48"/>
    <w:rsid w:val="000E4238"/>
    <w:rsid w:val="000E59FC"/>
    <w:rsid w:val="000F3357"/>
    <w:rsid w:val="000F6630"/>
    <w:rsid w:val="000F66E8"/>
    <w:rsid w:val="000F7D33"/>
    <w:rsid w:val="00101097"/>
    <w:rsid w:val="00102037"/>
    <w:rsid w:val="0010391A"/>
    <w:rsid w:val="00103BAC"/>
    <w:rsid w:val="00103D45"/>
    <w:rsid w:val="0010798B"/>
    <w:rsid w:val="0011027C"/>
    <w:rsid w:val="00111A2A"/>
    <w:rsid w:val="001124EF"/>
    <w:rsid w:val="001128EB"/>
    <w:rsid w:val="00116492"/>
    <w:rsid w:val="00117B65"/>
    <w:rsid w:val="00121787"/>
    <w:rsid w:val="00122970"/>
    <w:rsid w:val="001231DC"/>
    <w:rsid w:val="00125A04"/>
    <w:rsid w:val="00130570"/>
    <w:rsid w:val="00130DF4"/>
    <w:rsid w:val="00131CA1"/>
    <w:rsid w:val="0013208E"/>
    <w:rsid w:val="00135F97"/>
    <w:rsid w:val="001363AD"/>
    <w:rsid w:val="00141413"/>
    <w:rsid w:val="00143952"/>
    <w:rsid w:val="001509ED"/>
    <w:rsid w:val="00153011"/>
    <w:rsid w:val="001540B9"/>
    <w:rsid w:val="001541A6"/>
    <w:rsid w:val="0015449F"/>
    <w:rsid w:val="001565B6"/>
    <w:rsid w:val="00157FDF"/>
    <w:rsid w:val="0016051A"/>
    <w:rsid w:val="00160986"/>
    <w:rsid w:val="001632F7"/>
    <w:rsid w:val="001633F6"/>
    <w:rsid w:val="00163835"/>
    <w:rsid w:val="00164375"/>
    <w:rsid w:val="001653A2"/>
    <w:rsid w:val="00165675"/>
    <w:rsid w:val="00170660"/>
    <w:rsid w:val="00170E99"/>
    <w:rsid w:val="001723BB"/>
    <w:rsid w:val="0017584F"/>
    <w:rsid w:val="00176191"/>
    <w:rsid w:val="00177683"/>
    <w:rsid w:val="00177AC8"/>
    <w:rsid w:val="00182156"/>
    <w:rsid w:val="00183554"/>
    <w:rsid w:val="00186A53"/>
    <w:rsid w:val="0018759F"/>
    <w:rsid w:val="00190EFE"/>
    <w:rsid w:val="00191040"/>
    <w:rsid w:val="00191447"/>
    <w:rsid w:val="00192940"/>
    <w:rsid w:val="0019361E"/>
    <w:rsid w:val="001A1551"/>
    <w:rsid w:val="001A2654"/>
    <w:rsid w:val="001A5511"/>
    <w:rsid w:val="001A5703"/>
    <w:rsid w:val="001B0B5E"/>
    <w:rsid w:val="001B0E44"/>
    <w:rsid w:val="001B190E"/>
    <w:rsid w:val="001B2061"/>
    <w:rsid w:val="001B6049"/>
    <w:rsid w:val="001B6FBC"/>
    <w:rsid w:val="001C106E"/>
    <w:rsid w:val="001C17F1"/>
    <w:rsid w:val="001C2397"/>
    <w:rsid w:val="001C23BA"/>
    <w:rsid w:val="001C31E9"/>
    <w:rsid w:val="001C45EE"/>
    <w:rsid w:val="001C5189"/>
    <w:rsid w:val="001C7A99"/>
    <w:rsid w:val="001D0253"/>
    <w:rsid w:val="001D25C5"/>
    <w:rsid w:val="001E02FB"/>
    <w:rsid w:val="001E1659"/>
    <w:rsid w:val="001E1862"/>
    <w:rsid w:val="001E2160"/>
    <w:rsid w:val="001E3E0E"/>
    <w:rsid w:val="001E4599"/>
    <w:rsid w:val="001F0178"/>
    <w:rsid w:val="001F0404"/>
    <w:rsid w:val="001F106E"/>
    <w:rsid w:val="001F287E"/>
    <w:rsid w:val="001F3869"/>
    <w:rsid w:val="001F3923"/>
    <w:rsid w:val="001F3AB4"/>
    <w:rsid w:val="001F44D7"/>
    <w:rsid w:val="001F5E69"/>
    <w:rsid w:val="001F5F8C"/>
    <w:rsid w:val="001F7D70"/>
    <w:rsid w:val="00203341"/>
    <w:rsid w:val="002034DC"/>
    <w:rsid w:val="00205B64"/>
    <w:rsid w:val="00206A69"/>
    <w:rsid w:val="002070CE"/>
    <w:rsid w:val="00210244"/>
    <w:rsid w:val="00210721"/>
    <w:rsid w:val="00210F17"/>
    <w:rsid w:val="0021156C"/>
    <w:rsid w:val="00211CD7"/>
    <w:rsid w:val="00211E21"/>
    <w:rsid w:val="002126B0"/>
    <w:rsid w:val="002128A2"/>
    <w:rsid w:val="00212B22"/>
    <w:rsid w:val="00214BED"/>
    <w:rsid w:val="00216B85"/>
    <w:rsid w:val="00217086"/>
    <w:rsid w:val="00220E92"/>
    <w:rsid w:val="00221798"/>
    <w:rsid w:val="00221C83"/>
    <w:rsid w:val="002239A2"/>
    <w:rsid w:val="00225AFA"/>
    <w:rsid w:val="002277EA"/>
    <w:rsid w:val="0023372E"/>
    <w:rsid w:val="00240D3E"/>
    <w:rsid w:val="002425DB"/>
    <w:rsid w:val="0024527E"/>
    <w:rsid w:val="002456A7"/>
    <w:rsid w:val="00247C82"/>
    <w:rsid w:val="002515A6"/>
    <w:rsid w:val="002523A6"/>
    <w:rsid w:val="002548E8"/>
    <w:rsid w:val="00254E47"/>
    <w:rsid w:val="00254F08"/>
    <w:rsid w:val="00255516"/>
    <w:rsid w:val="00257201"/>
    <w:rsid w:val="00260683"/>
    <w:rsid w:val="002608B2"/>
    <w:rsid w:val="002613A1"/>
    <w:rsid w:val="002621D3"/>
    <w:rsid w:val="00263BF2"/>
    <w:rsid w:val="00272528"/>
    <w:rsid w:val="00275208"/>
    <w:rsid w:val="00277611"/>
    <w:rsid w:val="00277DD4"/>
    <w:rsid w:val="00281182"/>
    <w:rsid w:val="00283CC7"/>
    <w:rsid w:val="0028440C"/>
    <w:rsid w:val="002850A1"/>
    <w:rsid w:val="00285477"/>
    <w:rsid w:val="0029001A"/>
    <w:rsid w:val="00290827"/>
    <w:rsid w:val="002920B9"/>
    <w:rsid w:val="00292173"/>
    <w:rsid w:val="00292381"/>
    <w:rsid w:val="0029434F"/>
    <w:rsid w:val="0029638A"/>
    <w:rsid w:val="002A0179"/>
    <w:rsid w:val="002A2E93"/>
    <w:rsid w:val="002A368C"/>
    <w:rsid w:val="002A3796"/>
    <w:rsid w:val="002A42F3"/>
    <w:rsid w:val="002A4BA7"/>
    <w:rsid w:val="002A7A96"/>
    <w:rsid w:val="002A7BF4"/>
    <w:rsid w:val="002B1029"/>
    <w:rsid w:val="002B2299"/>
    <w:rsid w:val="002B27E6"/>
    <w:rsid w:val="002B6A8A"/>
    <w:rsid w:val="002B6C4A"/>
    <w:rsid w:val="002C1AE6"/>
    <w:rsid w:val="002C214F"/>
    <w:rsid w:val="002C243A"/>
    <w:rsid w:val="002C6769"/>
    <w:rsid w:val="002C756D"/>
    <w:rsid w:val="002C7FE5"/>
    <w:rsid w:val="002D1C62"/>
    <w:rsid w:val="002D33A4"/>
    <w:rsid w:val="002D676A"/>
    <w:rsid w:val="002D7425"/>
    <w:rsid w:val="002E0B77"/>
    <w:rsid w:val="002E0DB1"/>
    <w:rsid w:val="002E0EF5"/>
    <w:rsid w:val="002E1EE6"/>
    <w:rsid w:val="002E3094"/>
    <w:rsid w:val="002E3A66"/>
    <w:rsid w:val="002E5BAE"/>
    <w:rsid w:val="002E6AD0"/>
    <w:rsid w:val="002E6C9F"/>
    <w:rsid w:val="002E7367"/>
    <w:rsid w:val="002F2AA1"/>
    <w:rsid w:val="002F3E2A"/>
    <w:rsid w:val="002F3F44"/>
    <w:rsid w:val="002F44FB"/>
    <w:rsid w:val="002F7FAC"/>
    <w:rsid w:val="00301555"/>
    <w:rsid w:val="00303562"/>
    <w:rsid w:val="00305731"/>
    <w:rsid w:val="003103BD"/>
    <w:rsid w:val="003105FC"/>
    <w:rsid w:val="003158D5"/>
    <w:rsid w:val="00316E4B"/>
    <w:rsid w:val="00317510"/>
    <w:rsid w:val="00322187"/>
    <w:rsid w:val="00322196"/>
    <w:rsid w:val="00322FC3"/>
    <w:rsid w:val="00326E43"/>
    <w:rsid w:val="00326E5D"/>
    <w:rsid w:val="0032758B"/>
    <w:rsid w:val="0033224D"/>
    <w:rsid w:val="003336B3"/>
    <w:rsid w:val="00333CC5"/>
    <w:rsid w:val="0033673E"/>
    <w:rsid w:val="00340001"/>
    <w:rsid w:val="0034024D"/>
    <w:rsid w:val="003414B4"/>
    <w:rsid w:val="00341A7E"/>
    <w:rsid w:val="0034361E"/>
    <w:rsid w:val="00347ABA"/>
    <w:rsid w:val="00350457"/>
    <w:rsid w:val="00350FCD"/>
    <w:rsid w:val="00351337"/>
    <w:rsid w:val="00352ECF"/>
    <w:rsid w:val="003540B0"/>
    <w:rsid w:val="0035532A"/>
    <w:rsid w:val="003556E8"/>
    <w:rsid w:val="00360A38"/>
    <w:rsid w:val="00361E9B"/>
    <w:rsid w:val="00363C0F"/>
    <w:rsid w:val="0036445D"/>
    <w:rsid w:val="00364BC7"/>
    <w:rsid w:val="00364BDB"/>
    <w:rsid w:val="003679C8"/>
    <w:rsid w:val="00370479"/>
    <w:rsid w:val="00370D68"/>
    <w:rsid w:val="00373048"/>
    <w:rsid w:val="00375113"/>
    <w:rsid w:val="003800D1"/>
    <w:rsid w:val="00381695"/>
    <w:rsid w:val="003819CE"/>
    <w:rsid w:val="00384C0E"/>
    <w:rsid w:val="003859DD"/>
    <w:rsid w:val="00387011"/>
    <w:rsid w:val="00387327"/>
    <w:rsid w:val="00390005"/>
    <w:rsid w:val="003907F1"/>
    <w:rsid w:val="00390F12"/>
    <w:rsid w:val="00392004"/>
    <w:rsid w:val="0039410D"/>
    <w:rsid w:val="00394BF4"/>
    <w:rsid w:val="00395DB4"/>
    <w:rsid w:val="003976E6"/>
    <w:rsid w:val="003979D2"/>
    <w:rsid w:val="003A0498"/>
    <w:rsid w:val="003A0F7E"/>
    <w:rsid w:val="003A1111"/>
    <w:rsid w:val="003A5283"/>
    <w:rsid w:val="003A5981"/>
    <w:rsid w:val="003A6F1C"/>
    <w:rsid w:val="003A7014"/>
    <w:rsid w:val="003A799C"/>
    <w:rsid w:val="003A7DDB"/>
    <w:rsid w:val="003B16BF"/>
    <w:rsid w:val="003B3821"/>
    <w:rsid w:val="003B4065"/>
    <w:rsid w:val="003B63CB"/>
    <w:rsid w:val="003B6738"/>
    <w:rsid w:val="003B6C93"/>
    <w:rsid w:val="003C0B30"/>
    <w:rsid w:val="003C23E0"/>
    <w:rsid w:val="003C4F0D"/>
    <w:rsid w:val="003C4FAC"/>
    <w:rsid w:val="003C5116"/>
    <w:rsid w:val="003C5C04"/>
    <w:rsid w:val="003C7158"/>
    <w:rsid w:val="003C74F6"/>
    <w:rsid w:val="003D2A1A"/>
    <w:rsid w:val="003D35FD"/>
    <w:rsid w:val="003D3F82"/>
    <w:rsid w:val="003D6153"/>
    <w:rsid w:val="003D6326"/>
    <w:rsid w:val="003D668F"/>
    <w:rsid w:val="003E73FF"/>
    <w:rsid w:val="003F0474"/>
    <w:rsid w:val="003F1134"/>
    <w:rsid w:val="003F12C3"/>
    <w:rsid w:val="003F30FB"/>
    <w:rsid w:val="003F4CB3"/>
    <w:rsid w:val="003F7903"/>
    <w:rsid w:val="003F7AAF"/>
    <w:rsid w:val="004007E7"/>
    <w:rsid w:val="0040144C"/>
    <w:rsid w:val="00401A94"/>
    <w:rsid w:val="0040207F"/>
    <w:rsid w:val="004025A1"/>
    <w:rsid w:val="004052CD"/>
    <w:rsid w:val="00405546"/>
    <w:rsid w:val="00405F99"/>
    <w:rsid w:val="004066DF"/>
    <w:rsid w:val="00410AC9"/>
    <w:rsid w:val="00411A28"/>
    <w:rsid w:val="00412E82"/>
    <w:rsid w:val="004139E1"/>
    <w:rsid w:val="00414ED6"/>
    <w:rsid w:val="00414F85"/>
    <w:rsid w:val="004163BF"/>
    <w:rsid w:val="00416AA7"/>
    <w:rsid w:val="004234EC"/>
    <w:rsid w:val="00425FFE"/>
    <w:rsid w:val="00426676"/>
    <w:rsid w:val="004269F4"/>
    <w:rsid w:val="00426D7A"/>
    <w:rsid w:val="00430DB0"/>
    <w:rsid w:val="00431F43"/>
    <w:rsid w:val="00432D39"/>
    <w:rsid w:val="00433356"/>
    <w:rsid w:val="004337EF"/>
    <w:rsid w:val="00433B13"/>
    <w:rsid w:val="00435A1E"/>
    <w:rsid w:val="00437CBB"/>
    <w:rsid w:val="00440715"/>
    <w:rsid w:val="0044138F"/>
    <w:rsid w:val="0044158C"/>
    <w:rsid w:val="004425C4"/>
    <w:rsid w:val="0044582C"/>
    <w:rsid w:val="004461CB"/>
    <w:rsid w:val="0044716F"/>
    <w:rsid w:val="004503BB"/>
    <w:rsid w:val="00450B78"/>
    <w:rsid w:val="004514F7"/>
    <w:rsid w:val="00451A65"/>
    <w:rsid w:val="00451E1A"/>
    <w:rsid w:val="00451E6F"/>
    <w:rsid w:val="00451F5A"/>
    <w:rsid w:val="00452F59"/>
    <w:rsid w:val="004543C0"/>
    <w:rsid w:val="00455433"/>
    <w:rsid w:val="00457D88"/>
    <w:rsid w:val="00457E9C"/>
    <w:rsid w:val="00457ED1"/>
    <w:rsid w:val="00460505"/>
    <w:rsid w:val="00463511"/>
    <w:rsid w:val="004643B3"/>
    <w:rsid w:val="0046499E"/>
    <w:rsid w:val="00467EED"/>
    <w:rsid w:val="00472A44"/>
    <w:rsid w:val="00473774"/>
    <w:rsid w:val="00473FAD"/>
    <w:rsid w:val="00476735"/>
    <w:rsid w:val="00480238"/>
    <w:rsid w:val="0048062D"/>
    <w:rsid w:val="00480C90"/>
    <w:rsid w:val="004834D2"/>
    <w:rsid w:val="004852FF"/>
    <w:rsid w:val="00485759"/>
    <w:rsid w:val="00487019"/>
    <w:rsid w:val="00487442"/>
    <w:rsid w:val="00493181"/>
    <w:rsid w:val="00494250"/>
    <w:rsid w:val="00494409"/>
    <w:rsid w:val="004948C3"/>
    <w:rsid w:val="004948DF"/>
    <w:rsid w:val="00495EE1"/>
    <w:rsid w:val="00497AAD"/>
    <w:rsid w:val="00497B88"/>
    <w:rsid w:val="00497E35"/>
    <w:rsid w:val="004A0838"/>
    <w:rsid w:val="004A1E6F"/>
    <w:rsid w:val="004A3A84"/>
    <w:rsid w:val="004A3E5F"/>
    <w:rsid w:val="004A5EEE"/>
    <w:rsid w:val="004A6309"/>
    <w:rsid w:val="004B2DA9"/>
    <w:rsid w:val="004B440D"/>
    <w:rsid w:val="004B5032"/>
    <w:rsid w:val="004B5159"/>
    <w:rsid w:val="004B51F1"/>
    <w:rsid w:val="004B5B76"/>
    <w:rsid w:val="004B5F8C"/>
    <w:rsid w:val="004C0443"/>
    <w:rsid w:val="004C0A95"/>
    <w:rsid w:val="004C0E9C"/>
    <w:rsid w:val="004C0F54"/>
    <w:rsid w:val="004C28B9"/>
    <w:rsid w:val="004C5ABF"/>
    <w:rsid w:val="004C6FD9"/>
    <w:rsid w:val="004C7497"/>
    <w:rsid w:val="004C79BD"/>
    <w:rsid w:val="004D00AD"/>
    <w:rsid w:val="004D1334"/>
    <w:rsid w:val="004D2626"/>
    <w:rsid w:val="004D4133"/>
    <w:rsid w:val="004D415D"/>
    <w:rsid w:val="004D6F23"/>
    <w:rsid w:val="004E2E7D"/>
    <w:rsid w:val="004E3D54"/>
    <w:rsid w:val="004E4AAB"/>
    <w:rsid w:val="004E4C72"/>
    <w:rsid w:val="004F0817"/>
    <w:rsid w:val="004F1669"/>
    <w:rsid w:val="004F16AF"/>
    <w:rsid w:val="004F2382"/>
    <w:rsid w:val="004F3389"/>
    <w:rsid w:val="004F3C24"/>
    <w:rsid w:val="00500A45"/>
    <w:rsid w:val="005102F0"/>
    <w:rsid w:val="005103D6"/>
    <w:rsid w:val="005103F3"/>
    <w:rsid w:val="00512FFF"/>
    <w:rsid w:val="00513025"/>
    <w:rsid w:val="0051346D"/>
    <w:rsid w:val="00513960"/>
    <w:rsid w:val="00515A85"/>
    <w:rsid w:val="00517CC0"/>
    <w:rsid w:val="00522774"/>
    <w:rsid w:val="00523646"/>
    <w:rsid w:val="00523DA8"/>
    <w:rsid w:val="00524D27"/>
    <w:rsid w:val="00524FD5"/>
    <w:rsid w:val="00525254"/>
    <w:rsid w:val="005262B3"/>
    <w:rsid w:val="00527333"/>
    <w:rsid w:val="005319F5"/>
    <w:rsid w:val="00532292"/>
    <w:rsid w:val="00535EBB"/>
    <w:rsid w:val="00537BFA"/>
    <w:rsid w:val="00540030"/>
    <w:rsid w:val="00541DAF"/>
    <w:rsid w:val="0054441B"/>
    <w:rsid w:val="00554AA4"/>
    <w:rsid w:val="005558F0"/>
    <w:rsid w:val="00555FD9"/>
    <w:rsid w:val="00560F1A"/>
    <w:rsid w:val="0056106A"/>
    <w:rsid w:val="005613B8"/>
    <w:rsid w:val="00561BAD"/>
    <w:rsid w:val="00573C13"/>
    <w:rsid w:val="005748B8"/>
    <w:rsid w:val="00575079"/>
    <w:rsid w:val="00575648"/>
    <w:rsid w:val="005764AA"/>
    <w:rsid w:val="005769DC"/>
    <w:rsid w:val="00576E96"/>
    <w:rsid w:val="00583454"/>
    <w:rsid w:val="005839E8"/>
    <w:rsid w:val="00583B69"/>
    <w:rsid w:val="00583BED"/>
    <w:rsid w:val="005842BD"/>
    <w:rsid w:val="005859C9"/>
    <w:rsid w:val="00586928"/>
    <w:rsid w:val="00590AA4"/>
    <w:rsid w:val="00590CFC"/>
    <w:rsid w:val="00591729"/>
    <w:rsid w:val="00591F58"/>
    <w:rsid w:val="005921B0"/>
    <w:rsid w:val="005926CB"/>
    <w:rsid w:val="00596E1F"/>
    <w:rsid w:val="0059786C"/>
    <w:rsid w:val="005A4ECF"/>
    <w:rsid w:val="005A7062"/>
    <w:rsid w:val="005B05BF"/>
    <w:rsid w:val="005B3775"/>
    <w:rsid w:val="005B3CA5"/>
    <w:rsid w:val="005B4538"/>
    <w:rsid w:val="005B6620"/>
    <w:rsid w:val="005C1249"/>
    <w:rsid w:val="005C2465"/>
    <w:rsid w:val="005C5A92"/>
    <w:rsid w:val="005C6CC8"/>
    <w:rsid w:val="005C7C9A"/>
    <w:rsid w:val="005D0511"/>
    <w:rsid w:val="005D2569"/>
    <w:rsid w:val="005D315D"/>
    <w:rsid w:val="005D609E"/>
    <w:rsid w:val="005D73BA"/>
    <w:rsid w:val="005D7F0D"/>
    <w:rsid w:val="005E02C5"/>
    <w:rsid w:val="005E11F0"/>
    <w:rsid w:val="005E4A0A"/>
    <w:rsid w:val="005E7BED"/>
    <w:rsid w:val="005F1A83"/>
    <w:rsid w:val="005F24B4"/>
    <w:rsid w:val="005F764B"/>
    <w:rsid w:val="00601689"/>
    <w:rsid w:val="0060367E"/>
    <w:rsid w:val="00603E0A"/>
    <w:rsid w:val="0060453C"/>
    <w:rsid w:val="00605129"/>
    <w:rsid w:val="0061026D"/>
    <w:rsid w:val="00611212"/>
    <w:rsid w:val="00614656"/>
    <w:rsid w:val="00616C15"/>
    <w:rsid w:val="00616F67"/>
    <w:rsid w:val="006240B8"/>
    <w:rsid w:val="00627A4B"/>
    <w:rsid w:val="006301E0"/>
    <w:rsid w:val="00631BD8"/>
    <w:rsid w:val="00631C86"/>
    <w:rsid w:val="00632251"/>
    <w:rsid w:val="00633285"/>
    <w:rsid w:val="006338DF"/>
    <w:rsid w:val="00633D76"/>
    <w:rsid w:val="00634BB2"/>
    <w:rsid w:val="0063795D"/>
    <w:rsid w:val="00642D62"/>
    <w:rsid w:val="0064410B"/>
    <w:rsid w:val="00644A72"/>
    <w:rsid w:val="00645CEC"/>
    <w:rsid w:val="00647766"/>
    <w:rsid w:val="00647A4F"/>
    <w:rsid w:val="00651B87"/>
    <w:rsid w:val="00652B1A"/>
    <w:rsid w:val="00653A36"/>
    <w:rsid w:val="00655149"/>
    <w:rsid w:val="00656BE4"/>
    <w:rsid w:val="006618D7"/>
    <w:rsid w:val="0066264E"/>
    <w:rsid w:val="00667011"/>
    <w:rsid w:val="00667644"/>
    <w:rsid w:val="0067040E"/>
    <w:rsid w:val="0067070F"/>
    <w:rsid w:val="00671782"/>
    <w:rsid w:val="006717C4"/>
    <w:rsid w:val="00672CD8"/>
    <w:rsid w:val="00672FD5"/>
    <w:rsid w:val="00674173"/>
    <w:rsid w:val="00675F0C"/>
    <w:rsid w:val="00677846"/>
    <w:rsid w:val="00685CC3"/>
    <w:rsid w:val="00686AFC"/>
    <w:rsid w:val="00686E0D"/>
    <w:rsid w:val="00690E5E"/>
    <w:rsid w:val="00692921"/>
    <w:rsid w:val="006934CD"/>
    <w:rsid w:val="00693603"/>
    <w:rsid w:val="006A2CFE"/>
    <w:rsid w:val="006A458F"/>
    <w:rsid w:val="006A7330"/>
    <w:rsid w:val="006B016F"/>
    <w:rsid w:val="006B07FE"/>
    <w:rsid w:val="006B168D"/>
    <w:rsid w:val="006B18A9"/>
    <w:rsid w:val="006B1BBF"/>
    <w:rsid w:val="006B388D"/>
    <w:rsid w:val="006B593A"/>
    <w:rsid w:val="006B60F2"/>
    <w:rsid w:val="006B7AB2"/>
    <w:rsid w:val="006C0D6A"/>
    <w:rsid w:val="006C0DF6"/>
    <w:rsid w:val="006C1FA2"/>
    <w:rsid w:val="006C2A6B"/>
    <w:rsid w:val="006C34BD"/>
    <w:rsid w:val="006D2559"/>
    <w:rsid w:val="006D3320"/>
    <w:rsid w:val="006D4823"/>
    <w:rsid w:val="006D62F7"/>
    <w:rsid w:val="006D78E7"/>
    <w:rsid w:val="006E1C05"/>
    <w:rsid w:val="006E2A8B"/>
    <w:rsid w:val="006E2F3B"/>
    <w:rsid w:val="006E60F0"/>
    <w:rsid w:val="006E7476"/>
    <w:rsid w:val="006E7BC1"/>
    <w:rsid w:val="006F24F0"/>
    <w:rsid w:val="006F35CB"/>
    <w:rsid w:val="006F41EA"/>
    <w:rsid w:val="006F665A"/>
    <w:rsid w:val="006F6C93"/>
    <w:rsid w:val="00700917"/>
    <w:rsid w:val="00705432"/>
    <w:rsid w:val="00706ED6"/>
    <w:rsid w:val="00710C8F"/>
    <w:rsid w:val="00712D59"/>
    <w:rsid w:val="00713D7D"/>
    <w:rsid w:val="00720D13"/>
    <w:rsid w:val="007230A2"/>
    <w:rsid w:val="00723E1D"/>
    <w:rsid w:val="007262D1"/>
    <w:rsid w:val="00726D1E"/>
    <w:rsid w:val="00732A7A"/>
    <w:rsid w:val="00733190"/>
    <w:rsid w:val="0073445C"/>
    <w:rsid w:val="0073535D"/>
    <w:rsid w:val="00735E12"/>
    <w:rsid w:val="00737681"/>
    <w:rsid w:val="00741DD5"/>
    <w:rsid w:val="00742FCC"/>
    <w:rsid w:val="007448E3"/>
    <w:rsid w:val="00745D46"/>
    <w:rsid w:val="00746373"/>
    <w:rsid w:val="00746944"/>
    <w:rsid w:val="00746F4A"/>
    <w:rsid w:val="007502CB"/>
    <w:rsid w:val="00752AE9"/>
    <w:rsid w:val="00753105"/>
    <w:rsid w:val="00753BED"/>
    <w:rsid w:val="007559FF"/>
    <w:rsid w:val="00755F69"/>
    <w:rsid w:val="0075655D"/>
    <w:rsid w:val="00757AA0"/>
    <w:rsid w:val="007602E5"/>
    <w:rsid w:val="0076121F"/>
    <w:rsid w:val="00761D7D"/>
    <w:rsid w:val="00761F27"/>
    <w:rsid w:val="0076495B"/>
    <w:rsid w:val="007650A6"/>
    <w:rsid w:val="00767DD8"/>
    <w:rsid w:val="00771427"/>
    <w:rsid w:val="00771944"/>
    <w:rsid w:val="00771F07"/>
    <w:rsid w:val="00774098"/>
    <w:rsid w:val="007775E0"/>
    <w:rsid w:val="00782CCE"/>
    <w:rsid w:val="00782E43"/>
    <w:rsid w:val="007837FF"/>
    <w:rsid w:val="00783B51"/>
    <w:rsid w:val="0078454D"/>
    <w:rsid w:val="00786381"/>
    <w:rsid w:val="00792DFE"/>
    <w:rsid w:val="00793007"/>
    <w:rsid w:val="00795E7D"/>
    <w:rsid w:val="00796646"/>
    <w:rsid w:val="00796E72"/>
    <w:rsid w:val="007A1A50"/>
    <w:rsid w:val="007A1F06"/>
    <w:rsid w:val="007A2416"/>
    <w:rsid w:val="007A29A9"/>
    <w:rsid w:val="007A41FE"/>
    <w:rsid w:val="007A495F"/>
    <w:rsid w:val="007A6EDB"/>
    <w:rsid w:val="007B196D"/>
    <w:rsid w:val="007B2319"/>
    <w:rsid w:val="007B6850"/>
    <w:rsid w:val="007C0891"/>
    <w:rsid w:val="007C092F"/>
    <w:rsid w:val="007C26B1"/>
    <w:rsid w:val="007C3DDC"/>
    <w:rsid w:val="007C65DF"/>
    <w:rsid w:val="007C677F"/>
    <w:rsid w:val="007D2212"/>
    <w:rsid w:val="007D2251"/>
    <w:rsid w:val="007D31D7"/>
    <w:rsid w:val="007D79A0"/>
    <w:rsid w:val="007E1232"/>
    <w:rsid w:val="007E1AB3"/>
    <w:rsid w:val="007E315E"/>
    <w:rsid w:val="007E3689"/>
    <w:rsid w:val="007E5304"/>
    <w:rsid w:val="007E7DE9"/>
    <w:rsid w:val="007F285C"/>
    <w:rsid w:val="007F28E4"/>
    <w:rsid w:val="007F2D2F"/>
    <w:rsid w:val="007F67FE"/>
    <w:rsid w:val="00802FA2"/>
    <w:rsid w:val="008030B5"/>
    <w:rsid w:val="00803169"/>
    <w:rsid w:val="0080548E"/>
    <w:rsid w:val="00807156"/>
    <w:rsid w:val="008077D8"/>
    <w:rsid w:val="00810667"/>
    <w:rsid w:val="00810800"/>
    <w:rsid w:val="008128E6"/>
    <w:rsid w:val="008132BE"/>
    <w:rsid w:val="008157C7"/>
    <w:rsid w:val="00820AD9"/>
    <w:rsid w:val="008222B9"/>
    <w:rsid w:val="00822C9E"/>
    <w:rsid w:val="00827A83"/>
    <w:rsid w:val="00827D00"/>
    <w:rsid w:val="00831019"/>
    <w:rsid w:val="00832810"/>
    <w:rsid w:val="00833D0D"/>
    <w:rsid w:val="00840362"/>
    <w:rsid w:val="0084133B"/>
    <w:rsid w:val="0084186C"/>
    <w:rsid w:val="008445D3"/>
    <w:rsid w:val="00850397"/>
    <w:rsid w:val="0085467F"/>
    <w:rsid w:val="008547F2"/>
    <w:rsid w:val="00862E97"/>
    <w:rsid w:val="0086381B"/>
    <w:rsid w:val="00863931"/>
    <w:rsid w:val="00867B59"/>
    <w:rsid w:val="0087024C"/>
    <w:rsid w:val="008711F1"/>
    <w:rsid w:val="0087136C"/>
    <w:rsid w:val="00872151"/>
    <w:rsid w:val="008721B2"/>
    <w:rsid w:val="00872236"/>
    <w:rsid w:val="00873B1C"/>
    <w:rsid w:val="00874AC8"/>
    <w:rsid w:val="0087596D"/>
    <w:rsid w:val="008766DA"/>
    <w:rsid w:val="0087791A"/>
    <w:rsid w:val="0088236C"/>
    <w:rsid w:val="00885C7A"/>
    <w:rsid w:val="00886A4B"/>
    <w:rsid w:val="00887056"/>
    <w:rsid w:val="00890380"/>
    <w:rsid w:val="008905A6"/>
    <w:rsid w:val="00893EAC"/>
    <w:rsid w:val="00894163"/>
    <w:rsid w:val="008945D4"/>
    <w:rsid w:val="00896284"/>
    <w:rsid w:val="008965B2"/>
    <w:rsid w:val="00896833"/>
    <w:rsid w:val="00896DA9"/>
    <w:rsid w:val="0089705C"/>
    <w:rsid w:val="008A0471"/>
    <w:rsid w:val="008A113D"/>
    <w:rsid w:val="008A1225"/>
    <w:rsid w:val="008A16D3"/>
    <w:rsid w:val="008A1823"/>
    <w:rsid w:val="008A25E0"/>
    <w:rsid w:val="008A27E0"/>
    <w:rsid w:val="008A2E86"/>
    <w:rsid w:val="008A35E9"/>
    <w:rsid w:val="008A4067"/>
    <w:rsid w:val="008A55D8"/>
    <w:rsid w:val="008A5C8C"/>
    <w:rsid w:val="008B57C9"/>
    <w:rsid w:val="008B706F"/>
    <w:rsid w:val="008B7EA0"/>
    <w:rsid w:val="008C0675"/>
    <w:rsid w:val="008C137F"/>
    <w:rsid w:val="008C189A"/>
    <w:rsid w:val="008C55A8"/>
    <w:rsid w:val="008C55F2"/>
    <w:rsid w:val="008C6E35"/>
    <w:rsid w:val="008D0502"/>
    <w:rsid w:val="008D0FD8"/>
    <w:rsid w:val="008D11CC"/>
    <w:rsid w:val="008D1220"/>
    <w:rsid w:val="008D26A6"/>
    <w:rsid w:val="008D3B81"/>
    <w:rsid w:val="008D48E3"/>
    <w:rsid w:val="008D4BDA"/>
    <w:rsid w:val="008D4E5C"/>
    <w:rsid w:val="008D6DF7"/>
    <w:rsid w:val="008D7A32"/>
    <w:rsid w:val="008E011D"/>
    <w:rsid w:val="008E0E7D"/>
    <w:rsid w:val="008E35A7"/>
    <w:rsid w:val="008E3B34"/>
    <w:rsid w:val="008E44AF"/>
    <w:rsid w:val="008E4DF7"/>
    <w:rsid w:val="008E5948"/>
    <w:rsid w:val="008E6537"/>
    <w:rsid w:val="008E7CCD"/>
    <w:rsid w:val="008F0A99"/>
    <w:rsid w:val="008F18AC"/>
    <w:rsid w:val="008F27C8"/>
    <w:rsid w:val="008F3DAE"/>
    <w:rsid w:val="008F4384"/>
    <w:rsid w:val="008F50CD"/>
    <w:rsid w:val="008F636B"/>
    <w:rsid w:val="008F7906"/>
    <w:rsid w:val="00900DE9"/>
    <w:rsid w:val="00902AE2"/>
    <w:rsid w:val="009042E8"/>
    <w:rsid w:val="0090441D"/>
    <w:rsid w:val="00904540"/>
    <w:rsid w:val="00904CD5"/>
    <w:rsid w:val="009067CC"/>
    <w:rsid w:val="00906FE5"/>
    <w:rsid w:val="00910A56"/>
    <w:rsid w:val="00911B72"/>
    <w:rsid w:val="00912111"/>
    <w:rsid w:val="009121D4"/>
    <w:rsid w:val="00912DC4"/>
    <w:rsid w:val="0091379F"/>
    <w:rsid w:val="009171B1"/>
    <w:rsid w:val="0091730C"/>
    <w:rsid w:val="009228B4"/>
    <w:rsid w:val="00923EB2"/>
    <w:rsid w:val="00924272"/>
    <w:rsid w:val="009270A3"/>
    <w:rsid w:val="0093069C"/>
    <w:rsid w:val="00930A45"/>
    <w:rsid w:val="00930C80"/>
    <w:rsid w:val="00930DFB"/>
    <w:rsid w:val="00931A4A"/>
    <w:rsid w:val="00933F03"/>
    <w:rsid w:val="0093599C"/>
    <w:rsid w:val="00937B5B"/>
    <w:rsid w:val="009415F5"/>
    <w:rsid w:val="00941B45"/>
    <w:rsid w:val="00943730"/>
    <w:rsid w:val="00945931"/>
    <w:rsid w:val="0095082D"/>
    <w:rsid w:val="0095129E"/>
    <w:rsid w:val="00952D6C"/>
    <w:rsid w:val="00955144"/>
    <w:rsid w:val="00956691"/>
    <w:rsid w:val="00962AAA"/>
    <w:rsid w:val="00963124"/>
    <w:rsid w:val="009637BA"/>
    <w:rsid w:val="009664BA"/>
    <w:rsid w:val="00967E69"/>
    <w:rsid w:val="009714CF"/>
    <w:rsid w:val="00973795"/>
    <w:rsid w:val="00974715"/>
    <w:rsid w:val="0097475F"/>
    <w:rsid w:val="00980D6B"/>
    <w:rsid w:val="009823C8"/>
    <w:rsid w:val="00983752"/>
    <w:rsid w:val="00983FDA"/>
    <w:rsid w:val="00984753"/>
    <w:rsid w:val="0098595B"/>
    <w:rsid w:val="0099072D"/>
    <w:rsid w:val="0099116D"/>
    <w:rsid w:val="00991648"/>
    <w:rsid w:val="00991A06"/>
    <w:rsid w:val="00991CC6"/>
    <w:rsid w:val="00993045"/>
    <w:rsid w:val="00994C04"/>
    <w:rsid w:val="00996115"/>
    <w:rsid w:val="009A3B0D"/>
    <w:rsid w:val="009A3D79"/>
    <w:rsid w:val="009A677E"/>
    <w:rsid w:val="009B00FD"/>
    <w:rsid w:val="009B03BD"/>
    <w:rsid w:val="009B11A1"/>
    <w:rsid w:val="009B1A1B"/>
    <w:rsid w:val="009B3ED7"/>
    <w:rsid w:val="009B7702"/>
    <w:rsid w:val="009C026C"/>
    <w:rsid w:val="009C02C7"/>
    <w:rsid w:val="009C0671"/>
    <w:rsid w:val="009C4628"/>
    <w:rsid w:val="009C56B4"/>
    <w:rsid w:val="009C5B05"/>
    <w:rsid w:val="009C60F4"/>
    <w:rsid w:val="009C7571"/>
    <w:rsid w:val="009C7F4C"/>
    <w:rsid w:val="009D0FD2"/>
    <w:rsid w:val="009D1D95"/>
    <w:rsid w:val="009D1F1D"/>
    <w:rsid w:val="009D2A86"/>
    <w:rsid w:val="009D569C"/>
    <w:rsid w:val="009D597D"/>
    <w:rsid w:val="009D6813"/>
    <w:rsid w:val="009D6F44"/>
    <w:rsid w:val="009E158F"/>
    <w:rsid w:val="009E1EA6"/>
    <w:rsid w:val="009E23CA"/>
    <w:rsid w:val="009E2D3E"/>
    <w:rsid w:val="009E2FEA"/>
    <w:rsid w:val="009E4D64"/>
    <w:rsid w:val="009E54FB"/>
    <w:rsid w:val="009E5A12"/>
    <w:rsid w:val="009E60E3"/>
    <w:rsid w:val="009E7904"/>
    <w:rsid w:val="009F075B"/>
    <w:rsid w:val="009F42F9"/>
    <w:rsid w:val="009F5B3E"/>
    <w:rsid w:val="009F5F4A"/>
    <w:rsid w:val="009F796C"/>
    <w:rsid w:val="009F79BB"/>
    <w:rsid w:val="00A00477"/>
    <w:rsid w:val="00A035AC"/>
    <w:rsid w:val="00A04D2B"/>
    <w:rsid w:val="00A06EB3"/>
    <w:rsid w:val="00A074F5"/>
    <w:rsid w:val="00A07C17"/>
    <w:rsid w:val="00A10C9D"/>
    <w:rsid w:val="00A11340"/>
    <w:rsid w:val="00A11BFE"/>
    <w:rsid w:val="00A12067"/>
    <w:rsid w:val="00A131A0"/>
    <w:rsid w:val="00A136B2"/>
    <w:rsid w:val="00A13BB7"/>
    <w:rsid w:val="00A158B9"/>
    <w:rsid w:val="00A20238"/>
    <w:rsid w:val="00A20C44"/>
    <w:rsid w:val="00A2613D"/>
    <w:rsid w:val="00A3195C"/>
    <w:rsid w:val="00A35D64"/>
    <w:rsid w:val="00A3610B"/>
    <w:rsid w:val="00A406F5"/>
    <w:rsid w:val="00A4169C"/>
    <w:rsid w:val="00A41D03"/>
    <w:rsid w:val="00A427B0"/>
    <w:rsid w:val="00A42E30"/>
    <w:rsid w:val="00A42F14"/>
    <w:rsid w:val="00A46748"/>
    <w:rsid w:val="00A50A47"/>
    <w:rsid w:val="00A515EA"/>
    <w:rsid w:val="00A5797E"/>
    <w:rsid w:val="00A616F1"/>
    <w:rsid w:val="00A65BAC"/>
    <w:rsid w:val="00A66248"/>
    <w:rsid w:val="00A6689F"/>
    <w:rsid w:val="00A67F98"/>
    <w:rsid w:val="00A71F4A"/>
    <w:rsid w:val="00A72D3C"/>
    <w:rsid w:val="00A73B60"/>
    <w:rsid w:val="00A77824"/>
    <w:rsid w:val="00A8019F"/>
    <w:rsid w:val="00A80376"/>
    <w:rsid w:val="00A80B16"/>
    <w:rsid w:val="00A8143C"/>
    <w:rsid w:val="00A81476"/>
    <w:rsid w:val="00A815A8"/>
    <w:rsid w:val="00A8549B"/>
    <w:rsid w:val="00A860FE"/>
    <w:rsid w:val="00A86A45"/>
    <w:rsid w:val="00A87B12"/>
    <w:rsid w:val="00A90564"/>
    <w:rsid w:val="00A91C94"/>
    <w:rsid w:val="00A925C6"/>
    <w:rsid w:val="00A94156"/>
    <w:rsid w:val="00A949EC"/>
    <w:rsid w:val="00AA1831"/>
    <w:rsid w:val="00AA3B86"/>
    <w:rsid w:val="00AA7420"/>
    <w:rsid w:val="00AA7448"/>
    <w:rsid w:val="00AB0FCE"/>
    <w:rsid w:val="00AB144D"/>
    <w:rsid w:val="00AB171E"/>
    <w:rsid w:val="00AB2A34"/>
    <w:rsid w:val="00AB4A84"/>
    <w:rsid w:val="00AC1B98"/>
    <w:rsid w:val="00AC3C6F"/>
    <w:rsid w:val="00AC579A"/>
    <w:rsid w:val="00AC6B37"/>
    <w:rsid w:val="00AC6BA1"/>
    <w:rsid w:val="00AC7A34"/>
    <w:rsid w:val="00AD12C1"/>
    <w:rsid w:val="00AD2BE3"/>
    <w:rsid w:val="00AD3927"/>
    <w:rsid w:val="00AD4DBC"/>
    <w:rsid w:val="00AD75B2"/>
    <w:rsid w:val="00AE4493"/>
    <w:rsid w:val="00AE55FF"/>
    <w:rsid w:val="00AE6B79"/>
    <w:rsid w:val="00AF06B4"/>
    <w:rsid w:val="00AF0A7F"/>
    <w:rsid w:val="00AF47F3"/>
    <w:rsid w:val="00B00A49"/>
    <w:rsid w:val="00B04D51"/>
    <w:rsid w:val="00B100F5"/>
    <w:rsid w:val="00B13376"/>
    <w:rsid w:val="00B14135"/>
    <w:rsid w:val="00B142C9"/>
    <w:rsid w:val="00B1463C"/>
    <w:rsid w:val="00B174EF"/>
    <w:rsid w:val="00B20A41"/>
    <w:rsid w:val="00B20E99"/>
    <w:rsid w:val="00B219B7"/>
    <w:rsid w:val="00B22E02"/>
    <w:rsid w:val="00B23479"/>
    <w:rsid w:val="00B240BF"/>
    <w:rsid w:val="00B24171"/>
    <w:rsid w:val="00B254B5"/>
    <w:rsid w:val="00B25877"/>
    <w:rsid w:val="00B27029"/>
    <w:rsid w:val="00B30247"/>
    <w:rsid w:val="00B31E4F"/>
    <w:rsid w:val="00B337AF"/>
    <w:rsid w:val="00B36225"/>
    <w:rsid w:val="00B36E33"/>
    <w:rsid w:val="00B439F4"/>
    <w:rsid w:val="00B44515"/>
    <w:rsid w:val="00B45073"/>
    <w:rsid w:val="00B454AB"/>
    <w:rsid w:val="00B52DC2"/>
    <w:rsid w:val="00B5501F"/>
    <w:rsid w:val="00B560A9"/>
    <w:rsid w:val="00B57204"/>
    <w:rsid w:val="00B57982"/>
    <w:rsid w:val="00B6305A"/>
    <w:rsid w:val="00B65492"/>
    <w:rsid w:val="00B6612B"/>
    <w:rsid w:val="00B6794D"/>
    <w:rsid w:val="00B7043F"/>
    <w:rsid w:val="00B717BB"/>
    <w:rsid w:val="00B73870"/>
    <w:rsid w:val="00B81308"/>
    <w:rsid w:val="00B84BA4"/>
    <w:rsid w:val="00B86550"/>
    <w:rsid w:val="00B87720"/>
    <w:rsid w:val="00B90020"/>
    <w:rsid w:val="00B91DD0"/>
    <w:rsid w:val="00B91FD4"/>
    <w:rsid w:val="00B93A9D"/>
    <w:rsid w:val="00B94C7D"/>
    <w:rsid w:val="00B97594"/>
    <w:rsid w:val="00BA17A5"/>
    <w:rsid w:val="00BA52C0"/>
    <w:rsid w:val="00BA6838"/>
    <w:rsid w:val="00BB00B3"/>
    <w:rsid w:val="00BB1246"/>
    <w:rsid w:val="00BB19C3"/>
    <w:rsid w:val="00BB2E36"/>
    <w:rsid w:val="00BB36DB"/>
    <w:rsid w:val="00BB71DB"/>
    <w:rsid w:val="00BB7F33"/>
    <w:rsid w:val="00BC0550"/>
    <w:rsid w:val="00BC25C2"/>
    <w:rsid w:val="00BC299B"/>
    <w:rsid w:val="00BC2A18"/>
    <w:rsid w:val="00BC2A31"/>
    <w:rsid w:val="00BC4B24"/>
    <w:rsid w:val="00BC50D2"/>
    <w:rsid w:val="00BC5696"/>
    <w:rsid w:val="00BC5B87"/>
    <w:rsid w:val="00BD0E0E"/>
    <w:rsid w:val="00BD2C04"/>
    <w:rsid w:val="00BD41E1"/>
    <w:rsid w:val="00BD4E9C"/>
    <w:rsid w:val="00BE02A6"/>
    <w:rsid w:val="00BE1989"/>
    <w:rsid w:val="00BE204A"/>
    <w:rsid w:val="00BE255B"/>
    <w:rsid w:val="00BE2746"/>
    <w:rsid w:val="00BE342D"/>
    <w:rsid w:val="00BE3B89"/>
    <w:rsid w:val="00BE3CDD"/>
    <w:rsid w:val="00BE4D53"/>
    <w:rsid w:val="00BE7951"/>
    <w:rsid w:val="00BF228B"/>
    <w:rsid w:val="00BF2C38"/>
    <w:rsid w:val="00BF2E11"/>
    <w:rsid w:val="00BF3FB9"/>
    <w:rsid w:val="00BF5297"/>
    <w:rsid w:val="00BF7695"/>
    <w:rsid w:val="00BF78E0"/>
    <w:rsid w:val="00C01EAE"/>
    <w:rsid w:val="00C03707"/>
    <w:rsid w:val="00C06F7E"/>
    <w:rsid w:val="00C0762E"/>
    <w:rsid w:val="00C10248"/>
    <w:rsid w:val="00C15E79"/>
    <w:rsid w:val="00C213D7"/>
    <w:rsid w:val="00C21705"/>
    <w:rsid w:val="00C238AB"/>
    <w:rsid w:val="00C23F10"/>
    <w:rsid w:val="00C25A3F"/>
    <w:rsid w:val="00C2713F"/>
    <w:rsid w:val="00C27D4F"/>
    <w:rsid w:val="00C302D0"/>
    <w:rsid w:val="00C31124"/>
    <w:rsid w:val="00C34058"/>
    <w:rsid w:val="00C35311"/>
    <w:rsid w:val="00C35B58"/>
    <w:rsid w:val="00C36AB1"/>
    <w:rsid w:val="00C36C07"/>
    <w:rsid w:val="00C41624"/>
    <w:rsid w:val="00C41965"/>
    <w:rsid w:val="00C426D5"/>
    <w:rsid w:val="00C42B3B"/>
    <w:rsid w:val="00C44176"/>
    <w:rsid w:val="00C44DB5"/>
    <w:rsid w:val="00C46990"/>
    <w:rsid w:val="00C50009"/>
    <w:rsid w:val="00C532B9"/>
    <w:rsid w:val="00C53922"/>
    <w:rsid w:val="00C53DB8"/>
    <w:rsid w:val="00C540B2"/>
    <w:rsid w:val="00C553BC"/>
    <w:rsid w:val="00C555D1"/>
    <w:rsid w:val="00C62054"/>
    <w:rsid w:val="00C62185"/>
    <w:rsid w:val="00C65230"/>
    <w:rsid w:val="00C65BCD"/>
    <w:rsid w:val="00C67DF5"/>
    <w:rsid w:val="00C7198A"/>
    <w:rsid w:val="00C7706E"/>
    <w:rsid w:val="00C80194"/>
    <w:rsid w:val="00C810DA"/>
    <w:rsid w:val="00C81F0F"/>
    <w:rsid w:val="00C84CCD"/>
    <w:rsid w:val="00C85162"/>
    <w:rsid w:val="00C85ABD"/>
    <w:rsid w:val="00C87C5C"/>
    <w:rsid w:val="00C93915"/>
    <w:rsid w:val="00C97F9F"/>
    <w:rsid w:val="00CA1BF4"/>
    <w:rsid w:val="00CA2082"/>
    <w:rsid w:val="00CA3BF8"/>
    <w:rsid w:val="00CA402F"/>
    <w:rsid w:val="00CA488A"/>
    <w:rsid w:val="00CA6D3E"/>
    <w:rsid w:val="00CA7A99"/>
    <w:rsid w:val="00CB01D3"/>
    <w:rsid w:val="00CB1829"/>
    <w:rsid w:val="00CC0687"/>
    <w:rsid w:val="00CC0BA7"/>
    <w:rsid w:val="00CC104D"/>
    <w:rsid w:val="00CC3DAA"/>
    <w:rsid w:val="00CC42BD"/>
    <w:rsid w:val="00CC44E5"/>
    <w:rsid w:val="00CC48CB"/>
    <w:rsid w:val="00CC5057"/>
    <w:rsid w:val="00CC5875"/>
    <w:rsid w:val="00CD0876"/>
    <w:rsid w:val="00CD0F56"/>
    <w:rsid w:val="00CD2FFA"/>
    <w:rsid w:val="00CD3B64"/>
    <w:rsid w:val="00CE096D"/>
    <w:rsid w:val="00CE2D5A"/>
    <w:rsid w:val="00CE360D"/>
    <w:rsid w:val="00CE3EE9"/>
    <w:rsid w:val="00CE51E4"/>
    <w:rsid w:val="00CF0116"/>
    <w:rsid w:val="00CF10E6"/>
    <w:rsid w:val="00CF6651"/>
    <w:rsid w:val="00D01358"/>
    <w:rsid w:val="00D01695"/>
    <w:rsid w:val="00D01E70"/>
    <w:rsid w:val="00D0734F"/>
    <w:rsid w:val="00D133AE"/>
    <w:rsid w:val="00D148BF"/>
    <w:rsid w:val="00D169AA"/>
    <w:rsid w:val="00D21F65"/>
    <w:rsid w:val="00D232A1"/>
    <w:rsid w:val="00D24249"/>
    <w:rsid w:val="00D311DA"/>
    <w:rsid w:val="00D324CD"/>
    <w:rsid w:val="00D32C30"/>
    <w:rsid w:val="00D334E8"/>
    <w:rsid w:val="00D34E15"/>
    <w:rsid w:val="00D352F3"/>
    <w:rsid w:val="00D355CD"/>
    <w:rsid w:val="00D3638A"/>
    <w:rsid w:val="00D363B2"/>
    <w:rsid w:val="00D36718"/>
    <w:rsid w:val="00D42C58"/>
    <w:rsid w:val="00D43BDF"/>
    <w:rsid w:val="00D44F2C"/>
    <w:rsid w:val="00D46F3E"/>
    <w:rsid w:val="00D5007D"/>
    <w:rsid w:val="00D515AA"/>
    <w:rsid w:val="00D51FEA"/>
    <w:rsid w:val="00D53BF7"/>
    <w:rsid w:val="00D54159"/>
    <w:rsid w:val="00D543D0"/>
    <w:rsid w:val="00D55B0B"/>
    <w:rsid w:val="00D56463"/>
    <w:rsid w:val="00D57F0B"/>
    <w:rsid w:val="00D57F89"/>
    <w:rsid w:val="00D61505"/>
    <w:rsid w:val="00D62F05"/>
    <w:rsid w:val="00D66BF5"/>
    <w:rsid w:val="00D679D7"/>
    <w:rsid w:val="00D67B43"/>
    <w:rsid w:val="00D71029"/>
    <w:rsid w:val="00D720C2"/>
    <w:rsid w:val="00D7521A"/>
    <w:rsid w:val="00D7627E"/>
    <w:rsid w:val="00D8061D"/>
    <w:rsid w:val="00D809DA"/>
    <w:rsid w:val="00D85238"/>
    <w:rsid w:val="00D85938"/>
    <w:rsid w:val="00D9106C"/>
    <w:rsid w:val="00D919C1"/>
    <w:rsid w:val="00D921FC"/>
    <w:rsid w:val="00D9424E"/>
    <w:rsid w:val="00D9455C"/>
    <w:rsid w:val="00D9674C"/>
    <w:rsid w:val="00DA3389"/>
    <w:rsid w:val="00DA6D0E"/>
    <w:rsid w:val="00DA7A1C"/>
    <w:rsid w:val="00DA7BF1"/>
    <w:rsid w:val="00DA7D96"/>
    <w:rsid w:val="00DB0C85"/>
    <w:rsid w:val="00DB60DE"/>
    <w:rsid w:val="00DB6EC8"/>
    <w:rsid w:val="00DC0B74"/>
    <w:rsid w:val="00DC2BAE"/>
    <w:rsid w:val="00DC36E6"/>
    <w:rsid w:val="00DD12E3"/>
    <w:rsid w:val="00DD2B95"/>
    <w:rsid w:val="00DD2BC0"/>
    <w:rsid w:val="00DD43B6"/>
    <w:rsid w:val="00DD5190"/>
    <w:rsid w:val="00DE09DA"/>
    <w:rsid w:val="00DE21CE"/>
    <w:rsid w:val="00DE2960"/>
    <w:rsid w:val="00DE32DC"/>
    <w:rsid w:val="00DE6154"/>
    <w:rsid w:val="00DE74A4"/>
    <w:rsid w:val="00DE7C81"/>
    <w:rsid w:val="00DF1498"/>
    <w:rsid w:val="00DF260C"/>
    <w:rsid w:val="00DF29BD"/>
    <w:rsid w:val="00DF2D8F"/>
    <w:rsid w:val="00DF5DC9"/>
    <w:rsid w:val="00DF5E7D"/>
    <w:rsid w:val="00E007BE"/>
    <w:rsid w:val="00E009DA"/>
    <w:rsid w:val="00E01E05"/>
    <w:rsid w:val="00E04593"/>
    <w:rsid w:val="00E047EA"/>
    <w:rsid w:val="00E04C2B"/>
    <w:rsid w:val="00E06C00"/>
    <w:rsid w:val="00E06FA5"/>
    <w:rsid w:val="00E073B9"/>
    <w:rsid w:val="00E07A63"/>
    <w:rsid w:val="00E12179"/>
    <w:rsid w:val="00E1545A"/>
    <w:rsid w:val="00E16DBC"/>
    <w:rsid w:val="00E17F1B"/>
    <w:rsid w:val="00E21302"/>
    <w:rsid w:val="00E215A2"/>
    <w:rsid w:val="00E21D9E"/>
    <w:rsid w:val="00E2240F"/>
    <w:rsid w:val="00E22581"/>
    <w:rsid w:val="00E24337"/>
    <w:rsid w:val="00E26C6A"/>
    <w:rsid w:val="00E374C7"/>
    <w:rsid w:val="00E377E6"/>
    <w:rsid w:val="00E37C93"/>
    <w:rsid w:val="00E40EB5"/>
    <w:rsid w:val="00E42F2F"/>
    <w:rsid w:val="00E43091"/>
    <w:rsid w:val="00E43F82"/>
    <w:rsid w:val="00E47DA4"/>
    <w:rsid w:val="00E5012E"/>
    <w:rsid w:val="00E50158"/>
    <w:rsid w:val="00E50337"/>
    <w:rsid w:val="00E50C1A"/>
    <w:rsid w:val="00E53A64"/>
    <w:rsid w:val="00E53B8F"/>
    <w:rsid w:val="00E53DBE"/>
    <w:rsid w:val="00E548D2"/>
    <w:rsid w:val="00E61F29"/>
    <w:rsid w:val="00E629E7"/>
    <w:rsid w:val="00E64BBA"/>
    <w:rsid w:val="00E66696"/>
    <w:rsid w:val="00E67D73"/>
    <w:rsid w:val="00E730F5"/>
    <w:rsid w:val="00E732DD"/>
    <w:rsid w:val="00E767A9"/>
    <w:rsid w:val="00E80FC4"/>
    <w:rsid w:val="00E810B3"/>
    <w:rsid w:val="00E83B2F"/>
    <w:rsid w:val="00E85BBD"/>
    <w:rsid w:val="00E85D17"/>
    <w:rsid w:val="00E90A4C"/>
    <w:rsid w:val="00E90FAA"/>
    <w:rsid w:val="00E91324"/>
    <w:rsid w:val="00E9210C"/>
    <w:rsid w:val="00E97330"/>
    <w:rsid w:val="00E9765B"/>
    <w:rsid w:val="00EA3F1C"/>
    <w:rsid w:val="00EA4E89"/>
    <w:rsid w:val="00EB1965"/>
    <w:rsid w:val="00EB1CA7"/>
    <w:rsid w:val="00EB2FC7"/>
    <w:rsid w:val="00EB43DE"/>
    <w:rsid w:val="00EB5472"/>
    <w:rsid w:val="00EB5C32"/>
    <w:rsid w:val="00EB60DD"/>
    <w:rsid w:val="00EB6664"/>
    <w:rsid w:val="00EB7406"/>
    <w:rsid w:val="00EC0ABF"/>
    <w:rsid w:val="00EC1677"/>
    <w:rsid w:val="00EC3724"/>
    <w:rsid w:val="00EC7800"/>
    <w:rsid w:val="00ED0CDD"/>
    <w:rsid w:val="00ED0CED"/>
    <w:rsid w:val="00ED131B"/>
    <w:rsid w:val="00ED2CC8"/>
    <w:rsid w:val="00ED66B3"/>
    <w:rsid w:val="00ED7C3C"/>
    <w:rsid w:val="00EE04B2"/>
    <w:rsid w:val="00EE2775"/>
    <w:rsid w:val="00EE3031"/>
    <w:rsid w:val="00EE4A6A"/>
    <w:rsid w:val="00EE4ABB"/>
    <w:rsid w:val="00EE5D71"/>
    <w:rsid w:val="00EE79F0"/>
    <w:rsid w:val="00EF00FC"/>
    <w:rsid w:val="00F004BC"/>
    <w:rsid w:val="00F007B8"/>
    <w:rsid w:val="00F00DDF"/>
    <w:rsid w:val="00F037E1"/>
    <w:rsid w:val="00F03DE9"/>
    <w:rsid w:val="00F0402A"/>
    <w:rsid w:val="00F05096"/>
    <w:rsid w:val="00F0526E"/>
    <w:rsid w:val="00F10B43"/>
    <w:rsid w:val="00F11DFB"/>
    <w:rsid w:val="00F12DDB"/>
    <w:rsid w:val="00F13CDE"/>
    <w:rsid w:val="00F16BCF"/>
    <w:rsid w:val="00F205C7"/>
    <w:rsid w:val="00F2246E"/>
    <w:rsid w:val="00F24658"/>
    <w:rsid w:val="00F25A82"/>
    <w:rsid w:val="00F3172B"/>
    <w:rsid w:val="00F321FB"/>
    <w:rsid w:val="00F322CE"/>
    <w:rsid w:val="00F32892"/>
    <w:rsid w:val="00F35A0C"/>
    <w:rsid w:val="00F368F1"/>
    <w:rsid w:val="00F40F8A"/>
    <w:rsid w:val="00F4195F"/>
    <w:rsid w:val="00F422D8"/>
    <w:rsid w:val="00F505C3"/>
    <w:rsid w:val="00F50E2F"/>
    <w:rsid w:val="00F51AD2"/>
    <w:rsid w:val="00F54D52"/>
    <w:rsid w:val="00F569C3"/>
    <w:rsid w:val="00F5702A"/>
    <w:rsid w:val="00F6219C"/>
    <w:rsid w:val="00F631D0"/>
    <w:rsid w:val="00F67864"/>
    <w:rsid w:val="00F679D0"/>
    <w:rsid w:val="00F72F7E"/>
    <w:rsid w:val="00F7338E"/>
    <w:rsid w:val="00F74ADD"/>
    <w:rsid w:val="00F766B9"/>
    <w:rsid w:val="00F76F9C"/>
    <w:rsid w:val="00F77D63"/>
    <w:rsid w:val="00F8118F"/>
    <w:rsid w:val="00F811FF"/>
    <w:rsid w:val="00F8120A"/>
    <w:rsid w:val="00F81294"/>
    <w:rsid w:val="00F81BD8"/>
    <w:rsid w:val="00F81FF8"/>
    <w:rsid w:val="00F82B5A"/>
    <w:rsid w:val="00F848AD"/>
    <w:rsid w:val="00F87877"/>
    <w:rsid w:val="00F878CA"/>
    <w:rsid w:val="00F87A18"/>
    <w:rsid w:val="00F91004"/>
    <w:rsid w:val="00F91C42"/>
    <w:rsid w:val="00F923A3"/>
    <w:rsid w:val="00F93545"/>
    <w:rsid w:val="00F94985"/>
    <w:rsid w:val="00F9500C"/>
    <w:rsid w:val="00F950B4"/>
    <w:rsid w:val="00F95D77"/>
    <w:rsid w:val="00F96E1E"/>
    <w:rsid w:val="00FA0873"/>
    <w:rsid w:val="00FA318B"/>
    <w:rsid w:val="00FA4814"/>
    <w:rsid w:val="00FA568F"/>
    <w:rsid w:val="00FA6A67"/>
    <w:rsid w:val="00FB0DB6"/>
    <w:rsid w:val="00FB3679"/>
    <w:rsid w:val="00FB3A59"/>
    <w:rsid w:val="00FB4A3E"/>
    <w:rsid w:val="00FB6959"/>
    <w:rsid w:val="00FB7726"/>
    <w:rsid w:val="00FB7EC2"/>
    <w:rsid w:val="00FC11E1"/>
    <w:rsid w:val="00FC18BA"/>
    <w:rsid w:val="00FC18DB"/>
    <w:rsid w:val="00FC2A48"/>
    <w:rsid w:val="00FC2ECB"/>
    <w:rsid w:val="00FC45EC"/>
    <w:rsid w:val="00FC5CE2"/>
    <w:rsid w:val="00FC6264"/>
    <w:rsid w:val="00FC6A32"/>
    <w:rsid w:val="00FC6D13"/>
    <w:rsid w:val="00FC779C"/>
    <w:rsid w:val="00FC77A0"/>
    <w:rsid w:val="00FD05B3"/>
    <w:rsid w:val="00FD1193"/>
    <w:rsid w:val="00FD1D97"/>
    <w:rsid w:val="00FD46DB"/>
    <w:rsid w:val="00FD4F35"/>
    <w:rsid w:val="00FD513A"/>
    <w:rsid w:val="00FE1688"/>
    <w:rsid w:val="00FE1DC5"/>
    <w:rsid w:val="00FE3F51"/>
    <w:rsid w:val="00FE561D"/>
    <w:rsid w:val="00FE62AE"/>
    <w:rsid w:val="00FE6E19"/>
    <w:rsid w:val="00FF0CF7"/>
    <w:rsid w:val="00FF2D8B"/>
    <w:rsid w:val="00FF563C"/>
    <w:rsid w:val="00FF5C81"/>
    <w:rsid w:val="22FC1D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735E45EF"/>
  <w15:docId w15:val="{3D6EDE28-7EB8-4070-A67B-0293F2D9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16"/>
    <w:lsdException w:name="heading 7" w:unhideWhenUsed="1"/>
    <w:lsdException w:name="heading 8" w:unhideWhenUsed="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nhideWhenUsed="1"/>
    <w:lsdException w:name="toc 8" w:semiHidden="1" w:uiPriority="16"/>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16"/>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2523A6"/>
    <w:pPr>
      <w:spacing w:line="240" w:lineRule="atLeast"/>
    </w:pPr>
    <w:rPr>
      <w:rFonts w:ascii="Verdana" w:hAnsi="Verdana" w:cs="Times New Roman"/>
      <w:sz w:val="18"/>
      <w:szCs w:val="24"/>
    </w:rPr>
  </w:style>
  <w:style w:type="paragraph" w:styleId="Kop1">
    <w:name w:val="heading 1"/>
    <w:basedOn w:val="Standaard"/>
    <w:next w:val="Standaard"/>
    <w:link w:val="Kop1Char"/>
    <w:uiPriority w:val="99"/>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pPr>
      <w:tabs>
        <w:tab w:val="left" w:pos="0"/>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143952"/>
    <w:pPr>
      <w:tabs>
        <w:tab w:val="num" w:pos="0"/>
      </w:tabs>
      <w:spacing w:after="660" w:line="300" w:lineRule="atLeast"/>
      <w:ind w:hanging="1134"/>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pPr>
      <w:tabs>
        <w:tab w:val="num" w:pos="0"/>
      </w:tabs>
      <w:spacing w:before="240"/>
      <w:ind w:hanging="1134"/>
      <w:outlineLvl w:val="1"/>
    </w:pPr>
    <w:rPr>
      <w:b/>
    </w:rPr>
  </w:style>
  <w:style w:type="paragraph" w:customStyle="1" w:styleId="Subparagraaf">
    <w:name w:val="Subparagraaf"/>
    <w:basedOn w:val="Broodtekst"/>
    <w:next w:val="Broodtekst"/>
    <w:uiPriority w:val="4"/>
    <w:qFormat/>
    <w:pPr>
      <w:tabs>
        <w:tab w:val="num" w:pos="0"/>
      </w:tabs>
      <w:spacing w:before="240"/>
      <w:ind w:hanging="1134"/>
      <w:outlineLvl w:val="2"/>
    </w:pPr>
    <w:rPr>
      <w:i/>
    </w:rPr>
  </w:style>
  <w:style w:type="character" w:styleId="Zwaar">
    <w:name w:val="Strong"/>
    <w:basedOn w:val="Standaardalinea-lettertype"/>
    <w:uiPriority w:val="22"/>
    <w:qFormat/>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qFormat/>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Carta"/>
      </w:rPr>
      <w:tblPr/>
      <w:tcPr>
        <w:tcBorders>
          <w:bottom w:val="single" w:sz="6" w:space="0" w:color="808080"/>
          <w:tl2br w:val="none" w:sz="0" w:space="0" w:color="auto"/>
          <w:tr2bl w:val="none" w:sz="0" w:space="0" w:color="auto"/>
        </w:tcBorders>
      </w:tcPr>
    </w:tblStylePr>
    <w:tblStylePr w:type="lastRow">
      <w:rPr>
        <w:rFonts w:cs="Carta"/>
      </w:rPr>
      <w:tblPr/>
      <w:tcPr>
        <w:tcBorders>
          <w:top w:val="single" w:sz="6" w:space="0" w:color="FFFFFF"/>
          <w:tl2br w:val="none" w:sz="0" w:space="0" w:color="auto"/>
          <w:tr2bl w:val="none" w:sz="0" w:space="0" w:color="auto"/>
        </w:tcBorders>
      </w:tcPr>
    </w:tblStylePr>
    <w:tblStylePr w:type="firstCol">
      <w:rPr>
        <w:rFonts w:cs="Carta"/>
      </w:rPr>
      <w:tblPr/>
      <w:tcPr>
        <w:tcBorders>
          <w:right w:val="single" w:sz="6" w:space="0" w:color="808080"/>
          <w:tl2br w:val="none" w:sz="0" w:space="0" w:color="auto"/>
          <w:tr2bl w:val="none" w:sz="0" w:space="0" w:color="auto"/>
        </w:tcBorders>
      </w:tcPr>
    </w:tblStylePr>
    <w:tblStylePr w:type="lastCol">
      <w:rPr>
        <w:rFonts w:cs="Carta"/>
      </w:rPr>
      <w:tblPr/>
      <w:tcPr>
        <w:tcBorders>
          <w:left w:val="single" w:sz="6" w:space="0" w:color="FFFFFF"/>
          <w:tl2br w:val="none" w:sz="0" w:space="0" w:color="auto"/>
          <w:tr2bl w:val="none" w:sz="0" w:space="0" w:color="auto"/>
        </w:tcBorders>
      </w:tcPr>
    </w:tblStylePr>
    <w:tblStylePr w:type="neCell">
      <w:rPr>
        <w:rFonts w:cs="Carta"/>
      </w:rPr>
      <w:tblPr/>
      <w:tcPr>
        <w:tcBorders>
          <w:left w:val="none" w:sz="0" w:space="0" w:color="auto"/>
          <w:bottom w:val="none" w:sz="0" w:space="0" w:color="auto"/>
          <w:tl2br w:val="none" w:sz="0" w:space="0" w:color="auto"/>
          <w:tr2bl w:val="none" w:sz="0" w:space="0" w:color="auto"/>
        </w:tcBorders>
      </w:tcPr>
    </w:tblStylePr>
    <w:tblStylePr w:type="nwCell">
      <w:rPr>
        <w:rFonts w:cs="Carta"/>
      </w:rPr>
      <w:tblPr/>
      <w:tcPr>
        <w:tcBorders>
          <w:bottom w:val="none" w:sz="0" w:space="0" w:color="auto"/>
          <w:right w:val="none" w:sz="0" w:space="0" w:color="auto"/>
          <w:tl2br w:val="none" w:sz="0" w:space="0" w:color="auto"/>
          <w:tr2bl w:val="none" w:sz="0" w:space="0" w:color="auto"/>
        </w:tcBorders>
      </w:tcPr>
    </w:tblStylePr>
    <w:tblStylePr w:type="seCell">
      <w:rPr>
        <w:rFonts w:cs="Carta"/>
      </w:rPr>
      <w:tblPr/>
      <w:tcPr>
        <w:tcBorders>
          <w:top w:val="none" w:sz="0" w:space="0" w:color="auto"/>
          <w:left w:val="none" w:sz="0" w:space="0" w:color="auto"/>
          <w:tl2br w:val="none" w:sz="0" w:space="0" w:color="auto"/>
          <w:tr2bl w:val="none" w:sz="0" w:space="0" w:color="auto"/>
        </w:tcBorders>
      </w:tcPr>
    </w:tblStylePr>
    <w:tblStylePr w:type="swCell">
      <w:rPr>
        <w:rFonts w:cs="Carta"/>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Carta"/>
      </w:rPr>
      <w:tblPr/>
      <w:tcPr>
        <w:tcBorders>
          <w:tl2br w:val="none" w:sz="0" w:space="0" w:color="auto"/>
          <w:tr2bl w:val="none" w:sz="0" w:space="0" w:color="auto"/>
        </w:tcBorders>
      </w:tcPr>
    </w:tblStylePr>
    <w:tblStylePr w:type="firstCol">
      <w:rPr>
        <w:rFonts w:cs="Cart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rta"/>
      </w:rPr>
      <w:tblPr/>
      <w:tcPr>
        <w:tcBorders>
          <w:right w:val="single" w:sz="6" w:space="0" w:color="FFFFFF"/>
          <w:tl2br w:val="none" w:sz="0" w:space="0" w:color="auto"/>
          <w:tr2bl w:val="none" w:sz="0" w:space="0" w:color="auto"/>
        </w:tcBorders>
      </w:tcPr>
    </w:tblStylePr>
    <w:tblStylePr w:type="band1Horz">
      <w:rPr>
        <w:rFonts w:cs="Carta"/>
      </w:rPr>
      <w:tblPr/>
      <w:tcPr>
        <w:tcBorders>
          <w:top w:val="single" w:sz="6" w:space="0" w:color="808080"/>
          <w:bottom w:val="single" w:sz="6" w:space="0" w:color="FFFFFF"/>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Carta"/>
      </w:rPr>
      <w:tblPr/>
      <w:tcPr>
        <w:tcBorders>
          <w:tl2br w:val="none" w:sz="0" w:space="0" w:color="auto"/>
          <w:tr2bl w:val="none" w:sz="0" w:space="0" w:color="auto"/>
        </w:tcBorders>
      </w:tcPr>
    </w:tblStylePr>
    <w:tblStylePr w:type="firstCol">
      <w:rPr>
        <w:rFonts w:cs="Cart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Carta"/>
      </w:rPr>
      <w:tblPr/>
      <w:tcPr>
        <w:tcBorders>
          <w:right w:val="single" w:sz="6" w:space="0" w:color="FFFFFF"/>
          <w:tl2br w:val="none" w:sz="0" w:space="0" w:color="auto"/>
          <w:tr2bl w:val="none" w:sz="0" w:space="0" w:color="auto"/>
        </w:tcBorders>
      </w:tcPr>
    </w:tblStylePr>
    <w:tblStylePr w:type="band1Vert">
      <w:rPr>
        <w:rFonts w:cs="Carta"/>
      </w:rPr>
      <w:tblPr/>
      <w:tcPr>
        <w:shd w:val="solid" w:color="C0C0C0" w:fill="FFFFFF"/>
      </w:tcPr>
    </w:tblStylePr>
    <w:tblStylePr w:type="band2Vert">
      <w:rPr>
        <w:rFonts w:cs="Carta"/>
      </w:rPr>
      <w:tblPr/>
      <w:tcPr>
        <w:shd w:val="pct50" w:color="C0C0C0" w:fill="FFFFFF"/>
      </w:tcPr>
    </w:tblStylePr>
    <w:tblStylePr w:type="band1Horz">
      <w:rPr>
        <w:rFonts w:cs="Carta"/>
      </w:rPr>
      <w:tblPr/>
      <w:tcPr>
        <w:tcBorders>
          <w:top w:val="single" w:sz="6" w:space="0" w:color="808080"/>
          <w:bottom w:val="single" w:sz="6" w:space="0" w:color="FFFFFF"/>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Carta"/>
      </w:rPr>
      <w:tblPr/>
      <w:tcPr>
        <w:tcBorders>
          <w:bottom w:val="single" w:sz="6" w:space="0" w:color="008000"/>
          <w:tl2br w:val="none" w:sz="0" w:space="0" w:color="auto"/>
          <w:tr2bl w:val="none" w:sz="0" w:space="0" w:color="auto"/>
        </w:tcBorders>
      </w:tcPr>
    </w:tblStylePr>
    <w:tblStylePr w:type="lastRow">
      <w:rPr>
        <w:rFonts w:cs="Carta"/>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right w:val="single" w:sz="12" w:space="0" w:color="000000"/>
          <w:tl2br w:val="none" w:sz="0" w:space="0" w:color="auto"/>
          <w:tr2bl w:val="none" w:sz="0" w:space="0" w:color="auto"/>
        </w:tcBorders>
      </w:tcPr>
    </w:tblStylePr>
    <w:tblStylePr w:type="lastCol">
      <w:rPr>
        <w:rFonts w:cs="Carta"/>
      </w:rPr>
      <w:tblPr/>
      <w:tcPr>
        <w:tcBorders>
          <w:left w:val="single" w:sz="6" w:space="0" w:color="000000"/>
          <w:tl2br w:val="none" w:sz="0" w:space="0" w:color="auto"/>
          <w:tr2bl w:val="none" w:sz="0" w:space="0" w:color="auto"/>
        </w:tcBorders>
      </w:tcPr>
    </w:tblStylePr>
    <w:tblStylePr w:type="neCell">
      <w:rPr>
        <w:rFonts w:cs="Carta"/>
      </w:rPr>
      <w:tblPr/>
      <w:tcPr>
        <w:tcBorders>
          <w:left w:val="none" w:sz="0" w:space="0" w:color="auto"/>
          <w:tl2br w:val="none" w:sz="0" w:space="0" w:color="auto"/>
          <w:tr2bl w:val="none" w:sz="0" w:space="0" w:color="auto"/>
        </w:tcBorders>
      </w:tcPr>
    </w:tblStylePr>
    <w:tblStylePr w:type="swCell">
      <w:rPr>
        <w:rFonts w:cs="Carta"/>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Carta"/>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Carta"/>
      </w:rPr>
      <w:tblPr/>
      <w:tcPr>
        <w:tcBorders>
          <w:tl2br w:val="none" w:sz="0" w:space="0" w:color="auto"/>
          <w:tr2bl w:val="none" w:sz="0" w:space="0" w:color="auto"/>
        </w:tcBorders>
        <w:shd w:val="pct20" w:color="000000" w:fill="FFFFFF"/>
      </w:tcPr>
    </w:tblStylePr>
    <w:tblStylePr w:type="band1Horz">
      <w:rPr>
        <w:rFonts w:cs="Carta"/>
      </w:rPr>
      <w:tblPr/>
      <w:tcPr>
        <w:tcBorders>
          <w:tl2br w:val="none" w:sz="0" w:space="0" w:color="auto"/>
          <w:tr2bl w:val="none" w:sz="0" w:space="0" w:color="auto"/>
        </w:tcBorders>
        <w:shd w:val="pct5" w:color="000000" w:fill="FFFFFF"/>
      </w:tcPr>
    </w:tblStylePr>
    <w:tblStylePr w:type="band2Horz">
      <w:rPr>
        <w:rFonts w:cs="Carta"/>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Carta"/>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Carta"/>
      </w:rPr>
      <w:tblPr/>
      <w:tcPr>
        <w:tcBorders>
          <w:bottom w:val="single" w:sz="6"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right w:val="single" w:sz="6" w:space="0" w:color="000000"/>
          <w:tl2br w:val="none" w:sz="0" w:space="0" w:color="auto"/>
          <w:tr2bl w:val="none" w:sz="0" w:space="0" w:color="auto"/>
        </w:tcBorders>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Carta"/>
      </w:rPr>
      <w:tblPr/>
      <w:tcPr>
        <w:tcBorders>
          <w:bottom w:val="single" w:sz="6" w:space="0" w:color="000000"/>
          <w:tl2br w:val="none" w:sz="0" w:space="0" w:color="auto"/>
          <w:tr2bl w:val="none" w:sz="0" w:space="0" w:color="auto"/>
        </w:tcBorders>
        <w:shd w:val="solid" w:color="800080" w:fill="FFFFFF"/>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shd w:val="solid" w:color="C0C0C0" w:fill="FFFFFF"/>
      </w:tcPr>
    </w:tblStylePr>
    <w:tblStylePr w:type="neCell">
      <w:rPr>
        <w:rFonts w:cs="Carta"/>
      </w:rPr>
      <w:tblPr/>
      <w:tcPr>
        <w:tcBorders>
          <w:tl2br w:val="none" w:sz="0" w:space="0" w:color="auto"/>
          <w:tr2bl w:val="none" w:sz="0" w:space="0" w:color="auto"/>
        </w:tcBorders>
      </w:tcPr>
    </w:tblStylePr>
    <w:tblStylePr w:type="nwCell">
      <w:rPr>
        <w:rFonts w:cs="Carta"/>
      </w:rPr>
      <w:tblPr/>
      <w:tcPr>
        <w:tcBorders>
          <w:tl2br w:val="none" w:sz="0" w:space="0" w:color="auto"/>
          <w:tr2bl w:val="none" w:sz="0" w:space="0" w:color="auto"/>
        </w:tcBorders>
        <w:shd w:val="solid" w:color="800080" w:fill="FFFFFF"/>
      </w:tcPr>
    </w:tblStylePr>
    <w:tblStylePr w:type="swCell">
      <w:rPr>
        <w:rFonts w:cs="Carta"/>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Carta"/>
      </w:rPr>
      <w:tblPr/>
      <w:tcPr>
        <w:tcBorders>
          <w:bottom w:val="single" w:sz="6" w:space="0" w:color="000000"/>
          <w:tl2br w:val="none" w:sz="0" w:space="0" w:color="auto"/>
          <w:tr2bl w:val="none" w:sz="0" w:space="0" w:color="auto"/>
        </w:tcBorders>
        <w:shd w:val="solid" w:color="000080" w:fill="FFFFFF"/>
      </w:tcPr>
    </w:tblStylePr>
    <w:tblStylePr w:type="lastRow">
      <w:rPr>
        <w:rFonts w:cs="Carta"/>
      </w:rPr>
      <w:tblPr/>
      <w:tcPr>
        <w:tcBorders>
          <w:top w:val="single" w:sz="12" w:space="0" w:color="000000"/>
          <w:tl2br w:val="none" w:sz="0" w:space="0" w:color="auto"/>
          <w:tr2bl w:val="none" w:sz="0" w:space="0" w:color="auto"/>
        </w:tcBorders>
        <w:shd w:val="solid" w:color="FFFFFF" w:fill="FFFFFF"/>
      </w:tcPr>
    </w:tblStylePr>
    <w:tblStylePr w:type="firstCol">
      <w:rPr>
        <w:rFonts w:cs="Carta"/>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Carta"/>
      </w:rPr>
      <w:tblPr/>
      <w:tcPr>
        <w:tcBorders>
          <w:bottom w:val="single" w:sz="6" w:space="0" w:color="000000"/>
          <w:tl2br w:val="none" w:sz="0" w:space="0" w:color="auto"/>
          <w:tr2bl w:val="none" w:sz="0" w:space="0" w:color="auto"/>
        </w:tcBorders>
        <w:shd w:val="pct50" w:color="000080" w:fill="FFFFFF"/>
      </w:tcPr>
    </w:tblStylePr>
    <w:tblStylePr w:type="lastRow">
      <w:rPr>
        <w:rFonts w:cs="Carta"/>
      </w:rPr>
      <w:tblPr/>
      <w:tcPr>
        <w:tcBorders>
          <w:bottom w:val="single" w:sz="6" w:space="0" w:color="000000"/>
          <w:tl2br w:val="none" w:sz="0" w:space="0" w:color="auto"/>
          <w:tr2bl w:val="none" w:sz="0" w:space="0" w:color="auto"/>
        </w:tcBorders>
        <w:shd w:val="pct50" w:color="000000" w:fill="FFFFFF"/>
      </w:tcPr>
    </w:tblStylePr>
    <w:tblStylePr w:type="firstCol">
      <w:rPr>
        <w:rFonts w:cs="Carta"/>
      </w:rPr>
      <w:tblPr/>
      <w:tcPr>
        <w:tcBorders>
          <w:tl2br w:val="none" w:sz="0" w:space="0" w:color="auto"/>
          <w:tr2bl w:val="none" w:sz="0" w:space="0" w:color="auto"/>
        </w:tcBorders>
      </w:tcPr>
    </w:tblStylePr>
    <w:tblStylePr w:type="nw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Carta"/>
      </w:rPr>
      <w:tblPr/>
      <w:tcPr>
        <w:tcBorders>
          <w:tl2br w:val="none" w:sz="0" w:space="0" w:color="auto"/>
          <w:tr2bl w:val="none" w:sz="0" w:space="0" w:color="auto"/>
        </w:tcBorders>
        <w:shd w:val="solid" w:color="000000" w:fill="FFFFFF"/>
      </w:tcPr>
    </w:tblStylePr>
    <w:tblStylePr w:type="firstCol">
      <w:rPr>
        <w:rFonts w:cs="Carta"/>
      </w:rPr>
      <w:tblPr/>
      <w:tcPr>
        <w:tcBorders>
          <w:tl2br w:val="none" w:sz="0" w:space="0" w:color="auto"/>
          <w:tr2bl w:val="none" w:sz="0" w:space="0" w:color="auto"/>
        </w:tcBorders>
        <w:shd w:val="solid" w:color="000080" w:fill="FFFFFF"/>
      </w:tcPr>
    </w:tblStylePr>
    <w:tblStylePr w:type="nwCell">
      <w:rPr>
        <w:rFonts w:cs="Carta"/>
      </w:rPr>
      <w:tblPr/>
      <w:tcPr>
        <w:tcBorders>
          <w:tl2br w:val="none" w:sz="0" w:space="0" w:color="auto"/>
          <w:tr2bl w:val="none" w:sz="0" w:space="0" w:color="auto"/>
        </w:tcBorders>
        <w:shd w:val="solid" w:color="000000" w:fill="FFFFFF"/>
      </w:tcPr>
    </w:tblStylePr>
    <w:tblStylePr w:type="swCell">
      <w:rPr>
        <w:rFonts w:cs="Carta"/>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Carta"/>
      </w:rPr>
      <w:tblPr/>
      <w:tcPr>
        <w:tcBorders>
          <w:bottom w:val="single" w:sz="12" w:space="0" w:color="000000"/>
          <w:tl2br w:val="none" w:sz="0" w:space="0" w:color="auto"/>
          <w:tr2bl w:val="none" w:sz="0" w:space="0" w:color="auto"/>
        </w:tcBorders>
        <w:shd w:val="solid" w:color="800000" w:fill="FFFFFF"/>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shd w:val="solid" w:color="C0C0C0" w:fill="FFFFFF"/>
      </w:tcPr>
    </w:tblStylePr>
    <w:tblStylePr w:type="swCell">
      <w:rPr>
        <w:rFonts w:cs="Carta"/>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Carta"/>
      </w:rPr>
      <w:tblPr/>
      <w:tcPr>
        <w:tcBorders>
          <w:bottom w:val="single" w:sz="6" w:space="0" w:color="000000"/>
          <w:tl2br w:val="none" w:sz="0" w:space="0" w:color="auto"/>
          <w:tr2bl w:val="none" w:sz="0" w:space="0" w:color="auto"/>
        </w:tcBorders>
        <w:shd w:val="solid" w:color="008080" w:fill="FFFFFF"/>
      </w:tcPr>
    </w:tblStylePr>
    <w:tblStylePr w:type="firstCol">
      <w:rPr>
        <w:rFonts w:cs="Carta"/>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Carta"/>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Carta"/>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Carta"/>
      </w:rPr>
      <w:tblPr/>
      <w:tcPr>
        <w:tcBorders>
          <w:bottom w:val="double" w:sz="6" w:space="0" w:color="000000"/>
          <w:tl2br w:val="none" w:sz="0" w:space="0" w:color="auto"/>
          <w:tr2bl w:val="none" w:sz="0" w:space="0" w:color="auto"/>
        </w:tcBorders>
      </w:tcPr>
    </w:tblStylePr>
    <w:tblStylePr w:type="lastRow">
      <w:rPr>
        <w:rFonts w:cs="Carta"/>
      </w:rPr>
      <w:tblPr/>
      <w:tcPr>
        <w:tcBorders>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pct25" w:color="000000" w:fill="FFFFFF"/>
      </w:tcPr>
    </w:tblStylePr>
    <w:tblStylePr w:type="band2Vert">
      <w:rPr>
        <w:rFonts w:cs="Carta"/>
      </w:rPr>
      <w:tblPr/>
      <w:tcPr>
        <w:shd w:val="pct25" w:color="FFFF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Carta"/>
      </w:rPr>
      <w:tblPr/>
      <w:tcPr>
        <w:tcBorders>
          <w:tl2br w:val="none" w:sz="0" w:space="0" w:color="auto"/>
          <w:tr2bl w:val="none" w:sz="0" w:space="0" w:color="auto"/>
        </w:tcBorders>
        <w:shd w:val="solid" w:color="000080" w:fill="FFFFFF"/>
      </w:tcPr>
    </w:tblStylePr>
    <w:tblStylePr w:type="lastRow">
      <w:rPr>
        <w:rFonts w:cs="Carta"/>
      </w:rPr>
      <w:tblPr/>
      <w:tcPr>
        <w:tcBorders>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pct30" w:color="000000" w:fill="FFFFFF"/>
      </w:tcPr>
    </w:tblStylePr>
    <w:tblStylePr w:type="band2Vert">
      <w:rPr>
        <w:rFonts w:cs="Carta"/>
      </w:rPr>
      <w:tblPr/>
      <w:tcPr>
        <w:shd w:val="pct25" w:color="00FF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Carta"/>
      </w:rPr>
      <w:tblPr/>
      <w:tcPr>
        <w:tcBorders>
          <w:tl2br w:val="none" w:sz="0" w:space="0" w:color="auto"/>
          <w:tr2bl w:val="none" w:sz="0" w:space="0" w:color="auto"/>
        </w:tcBorders>
        <w:shd w:val="solid" w:color="000080" w:fill="FFFFFF"/>
      </w:tcPr>
    </w:tblStylePr>
    <w:tblStylePr w:type="lastRow">
      <w:rPr>
        <w:rFonts w:cs="Carta"/>
      </w:rPr>
      <w:tblPr/>
      <w:tcPr>
        <w:tcBorders>
          <w:top w:val="single" w:sz="6" w:space="0" w:color="00008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solid" w:color="C0C0C0" w:fill="FFFFFF"/>
      </w:tcPr>
    </w:tblStylePr>
    <w:tblStylePr w:type="band2Vert">
      <w:rPr>
        <w:rFonts w:cs="Carta"/>
      </w:rPr>
      <w:tblPr/>
      <w:tcPr>
        <w:shd w:val="pct10" w:color="000000" w:fill="FFFFFF"/>
      </w:tcPr>
    </w:tblStylePr>
    <w:tblStylePr w:type="neCell">
      <w:rPr>
        <w:rFonts w:cs="Carta"/>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Carta"/>
      </w:rPr>
      <w:tblPr/>
      <w:tcPr>
        <w:tcBorders>
          <w:tl2br w:val="none" w:sz="0" w:space="0" w:color="auto"/>
          <w:tr2bl w:val="none" w:sz="0" w:space="0" w:color="auto"/>
        </w:tcBorders>
        <w:shd w:val="solid" w:color="000000" w:fill="FFFFFF"/>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pct50" w:color="008080" w:fill="FFFFFF"/>
      </w:tcPr>
    </w:tblStylePr>
    <w:tblStylePr w:type="band2Vert">
      <w:rPr>
        <w:rFonts w:cs="Carta"/>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Carta"/>
      </w:rPr>
      <w:tblPr/>
      <w:tcPr>
        <w:tcBorders>
          <w:bottom w:val="single" w:sz="6" w:space="0" w:color="808080"/>
          <w:tl2br w:val="none" w:sz="0" w:space="0" w:color="auto"/>
          <w:tr2bl w:val="none" w:sz="0" w:space="0" w:color="auto"/>
        </w:tcBorders>
      </w:tcPr>
    </w:tblStylePr>
    <w:tblStylePr w:type="lastRow">
      <w:rPr>
        <w:rFonts w:cs="Carta"/>
      </w:rPr>
      <w:tblPr/>
      <w:tcPr>
        <w:tcBorders>
          <w:top w:val="single" w:sz="6" w:space="0" w:color="80808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Vert">
      <w:rPr>
        <w:rFonts w:cs="Carta"/>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Carta"/>
      </w:rPr>
      <w:tblPr/>
      <w:tcPr>
        <w:tcBorders>
          <w:bottom w:val="single" w:sz="6" w:space="0" w:color="000000"/>
          <w:tl2br w:val="none" w:sz="0" w:space="0" w:color="auto"/>
          <w:tr2bl w:val="none" w:sz="0" w:space="0" w:color="auto"/>
        </w:tcBorders>
        <w:shd w:val="solid" w:color="C0C0C0" w:fill="FFFFFF"/>
      </w:tcPr>
    </w:tblStylePr>
    <w:tblStylePr w:type="lastRow">
      <w:rPr>
        <w:rFonts w:cs="Carta"/>
      </w:rPr>
      <w:tblPr/>
      <w:tcPr>
        <w:tcBorders>
          <w:top w:val="single" w:sz="6" w:space="0" w:color="000000"/>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solid" w:color="C0C0C0" w:fill="FFFFFF"/>
      </w:tcPr>
    </w:tblStylePr>
    <w:tblStylePr w:type="band2Horz">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Carta"/>
      </w:rPr>
      <w:tblPr/>
      <w:tcPr>
        <w:tcBorders>
          <w:bottom w:val="single" w:sz="6" w:space="0" w:color="000000"/>
          <w:tl2br w:val="none" w:sz="0" w:space="0" w:color="auto"/>
          <w:tr2bl w:val="none" w:sz="0" w:space="0" w:color="auto"/>
        </w:tcBorders>
        <w:shd w:val="pct75" w:color="008080" w:fill="008000"/>
      </w:tcPr>
    </w:tblStylePr>
    <w:tblStylePr w:type="lastRow">
      <w:rPr>
        <w:rFonts w:cs="Carta"/>
      </w:rPr>
      <w:tblPr/>
      <w:tcPr>
        <w:tcBorders>
          <w:top w:val="single" w:sz="6" w:space="0" w:color="000000"/>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0" w:color="00FF00" w:fill="FFFFFF"/>
      </w:tcPr>
    </w:tblStylePr>
    <w:tblStylePr w:type="band2Horz">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12" w:space="0" w:color="000000"/>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Carta"/>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Carta"/>
      </w:rPr>
      <w:tblPr/>
      <w:tcPr>
        <w:tcBorders>
          <w:bottom w:val="single" w:sz="12" w:space="0" w:color="000000"/>
          <w:tl2br w:val="none" w:sz="0" w:space="0" w:color="auto"/>
          <w:tr2bl w:val="none" w:sz="0" w:space="0" w:color="auto"/>
        </w:tcBorders>
      </w:tcPr>
    </w:tblStylePr>
    <w:tblStylePr w:type="firstCol">
      <w:rPr>
        <w:rFonts w:cs="Carta"/>
      </w:rPr>
      <w:tblPr/>
      <w:tcPr>
        <w:tcBorders>
          <w:right w:val="single" w:sz="12" w:space="0" w:color="000000"/>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Carta"/>
      </w:rPr>
      <w:tblPr/>
      <w:tcPr>
        <w:tcBorders>
          <w:bottom w:val="single" w:sz="12" w:space="0" w:color="008000"/>
          <w:tl2br w:val="none" w:sz="0" w:space="0" w:color="auto"/>
          <w:tr2bl w:val="none" w:sz="0" w:space="0" w:color="auto"/>
        </w:tcBorders>
        <w:shd w:val="solid" w:color="C0C0C0" w:fill="FFFFFF"/>
      </w:tcPr>
    </w:tblStylePr>
    <w:tblStylePr w:type="lastRow">
      <w:rPr>
        <w:rFonts w:cs="Carta"/>
      </w:rPr>
      <w:tblPr/>
      <w:tcPr>
        <w:tcBorders>
          <w:top w:val="single" w:sz="12" w:space="0" w:color="008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0" w:color="000000" w:fill="FFFFFF"/>
      </w:tcPr>
    </w:tblStylePr>
    <w:tblStylePr w:type="band2Horz">
      <w:rPr>
        <w:rFonts w:cs="Carta"/>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shd w:val="solid" w:color="FFFF00" w:fill="FFFFFF"/>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band1Horz">
      <w:rPr>
        <w:rFonts w:cs="Carta"/>
      </w:rPr>
      <w:tblPr/>
      <w:tcPr>
        <w:tcBorders>
          <w:tl2br w:val="none" w:sz="0" w:space="0" w:color="auto"/>
          <w:tr2bl w:val="none" w:sz="0" w:space="0" w:color="auto"/>
        </w:tcBorders>
        <w:shd w:val="pct25" w:color="FFFF00" w:fill="FFFFFF"/>
      </w:tcPr>
    </w:tblStylePr>
    <w:tblStylePr w:type="band2Horz">
      <w:rPr>
        <w:rFonts w:cs="Carta"/>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Carta"/>
      </w:rPr>
      <w:tblPr/>
      <w:tcPr>
        <w:tcBorders>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shd w:val="pct30" w:color="FFFF00" w:fill="FFFFFF"/>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shd w:val="pct30" w:color="FFFF00" w:fill="FFFFFF"/>
      </w:tcPr>
    </w:tblStylePr>
    <w:tblStylePr w:type="lastRow">
      <w:rPr>
        <w:rFonts w:cs="Carta"/>
      </w:rPr>
      <w:tblPr/>
      <w:tcPr>
        <w:tcBorders>
          <w:top w:val="single" w:sz="6" w:space="0" w:color="000000"/>
          <w:tl2br w:val="none" w:sz="0" w:space="0" w:color="auto"/>
          <w:tr2bl w:val="none" w:sz="0" w:space="0" w:color="auto"/>
        </w:tcBorders>
        <w:shd w:val="pct30" w:color="FFFF00" w:fill="FFFFFF"/>
      </w:tcPr>
    </w:tblStylePr>
    <w:tblStylePr w:type="lastCol">
      <w:rPr>
        <w:rFonts w:cs="Carta"/>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nwCell">
      <w:rPr>
        <w:rFonts w:cs="Carta"/>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Carta"/>
      </w:rPr>
      <w:tblPr/>
      <w:tcPr>
        <w:tcBorders>
          <w:bottom w:val="single" w:sz="6"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nwCell">
      <w:rPr>
        <w:rFonts w:cs="Carta"/>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6" w:space="0" w:color="000000"/>
          <w:tl2br w:val="none" w:sz="0" w:space="0" w:color="auto"/>
          <w:tr2bl w:val="none" w:sz="0" w:space="0" w:color="auto"/>
        </w:tcBorders>
      </w:tcPr>
    </w:tblStylePr>
    <w:tblStylePr w:type="firstCol">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tblStylePr w:type="nwCell">
      <w:rPr>
        <w:rFonts w:cs="Carta"/>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Carta"/>
      </w:rPr>
      <w:tblPr/>
      <w:tcPr>
        <w:tcBorders>
          <w:tl2br w:val="none" w:sz="0" w:space="0" w:color="auto"/>
          <w:tr2bl w:val="none" w:sz="0" w:space="0" w:color="auto"/>
        </w:tcBorders>
        <w:shd w:val="solid" w:color="000080" w:fill="FFFFFF"/>
      </w:tcPr>
    </w:tblStylePr>
    <w:tblStylePr w:type="lastRow">
      <w:rPr>
        <w:rFonts w:cs="Carta"/>
      </w:rPr>
      <w:tblPr/>
      <w:tcPr>
        <w:tcBorders>
          <w:tl2br w:val="none" w:sz="0" w:space="0" w:color="auto"/>
          <w:tr2bl w:val="none" w:sz="0" w:space="0" w:color="auto"/>
        </w:tcBorders>
      </w:tcPr>
    </w:tblStylePr>
    <w:tblStylePr w:type="lastCol">
      <w:rPr>
        <w:rFonts w:cs="Carta"/>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Carta"/>
      </w:rPr>
      <w:tblPr/>
      <w:tcPr>
        <w:tcBorders>
          <w:top w:val="single" w:sz="6" w:space="0" w:color="000000"/>
          <w:bottom w:val="single" w:sz="12" w:space="0" w:color="000000"/>
          <w:tl2br w:val="none" w:sz="0" w:space="0" w:color="auto"/>
          <w:tr2bl w:val="none" w:sz="0" w:space="0" w:color="auto"/>
        </w:tcBorders>
      </w:tcPr>
    </w:tblStylePr>
    <w:tblStylePr w:type="lastRow">
      <w:rPr>
        <w:rFonts w:cs="Carta"/>
      </w:rPr>
      <w:tblPr/>
      <w:tcPr>
        <w:tcBorders>
          <w:top w:val="single" w:sz="12" w:space="0" w:color="000000"/>
          <w:tl2br w:val="none" w:sz="0" w:space="0" w:color="auto"/>
          <w:tr2bl w:val="none" w:sz="0" w:space="0" w:color="auto"/>
        </w:tcBorders>
        <w:shd w:val="pct25" w:color="800080" w:fill="FFFFFF"/>
      </w:tcPr>
    </w:tblStylePr>
    <w:tblStylePr w:type="firstCol">
      <w:rPr>
        <w:rFonts w:cs="Carta"/>
      </w:rPr>
      <w:tblPr/>
      <w:tcPr>
        <w:tcBorders>
          <w:right w:val="single" w:sz="12" w:space="0" w:color="000000"/>
          <w:tl2br w:val="none" w:sz="0" w:space="0" w:color="auto"/>
          <w:tr2bl w:val="none" w:sz="0" w:space="0" w:color="auto"/>
        </w:tcBorders>
      </w:tcPr>
    </w:tblStylePr>
    <w:tblStylePr w:type="lastCol">
      <w:rPr>
        <w:rFonts w:cs="Carta"/>
      </w:rPr>
      <w:tblPr/>
      <w:tcPr>
        <w:tcBorders>
          <w:left w:val="single" w:sz="12" w:space="0" w:color="000000"/>
          <w:tl2br w:val="none" w:sz="0" w:space="0" w:color="auto"/>
          <w:tr2bl w:val="none" w:sz="0" w:space="0" w:color="auto"/>
        </w:tcBorders>
      </w:tcPr>
    </w:tblStylePr>
    <w:tblStylePr w:type="band1Horz">
      <w:rPr>
        <w:rFonts w:cs="Carta"/>
      </w:rPr>
      <w:tblPr/>
      <w:tcPr>
        <w:tcBorders>
          <w:bottom w:val="single" w:sz="6" w:space="0" w:color="000000"/>
          <w:tl2br w:val="none" w:sz="0" w:space="0" w:color="auto"/>
          <w:tr2bl w:val="none" w:sz="0" w:space="0" w:color="auto"/>
        </w:tcBorders>
        <w:shd w:val="pct25" w:color="8080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Carta"/>
      </w:rPr>
      <w:tblPr/>
      <w:tcPr>
        <w:tcBorders>
          <w:bottom w:val="single" w:sz="12" w:space="0" w:color="000000"/>
          <w:tl2br w:val="none" w:sz="0" w:space="0" w:color="auto"/>
          <w:tr2bl w:val="none" w:sz="0" w:space="0" w:color="auto"/>
        </w:tcBorders>
      </w:tcPr>
    </w:tblStylePr>
    <w:tblStylePr w:type="lastRow">
      <w:rPr>
        <w:rFonts w:cs="Carta"/>
      </w:rPr>
      <w:tblPr/>
      <w:tcPr>
        <w:tcBorders>
          <w:top w:val="single" w:sz="12" w:space="0" w:color="000000"/>
          <w:tl2br w:val="none" w:sz="0" w:space="0" w:color="auto"/>
          <w:tr2bl w:val="none" w:sz="0" w:space="0" w:color="auto"/>
        </w:tcBorders>
      </w:tcPr>
    </w:tblStylePr>
    <w:tblStylePr w:type="firstCol">
      <w:rPr>
        <w:rFonts w:cs="Carta"/>
      </w:rPr>
      <w:tblPr/>
      <w:tcPr>
        <w:tcBorders>
          <w:right w:val="single" w:sz="12" w:space="0" w:color="000000"/>
          <w:tl2br w:val="none" w:sz="0" w:space="0" w:color="auto"/>
          <w:tr2bl w:val="none" w:sz="0" w:space="0" w:color="auto"/>
        </w:tcBorders>
        <w:shd w:val="pct25" w:color="008000" w:fill="FFFFFF"/>
      </w:tcPr>
    </w:tblStylePr>
    <w:tblStylePr w:type="lastCol">
      <w:rPr>
        <w:rFonts w:cs="Carta"/>
      </w:rPr>
      <w:tblPr/>
      <w:tcPr>
        <w:tcBorders>
          <w:left w:val="single" w:sz="12" w:space="0" w:color="000000"/>
          <w:tl2br w:val="none" w:sz="0" w:space="0" w:color="auto"/>
          <w:tr2bl w:val="none" w:sz="0" w:space="0" w:color="auto"/>
        </w:tcBorders>
        <w:shd w:val="pct25" w:color="808000" w:fill="FFFFFF"/>
      </w:tcPr>
    </w:tblStylePr>
    <w:tblStylePr w:type="neCell">
      <w:rPr>
        <w:rFonts w:cs="Carta"/>
      </w:rPr>
      <w:tblPr/>
      <w:tcPr>
        <w:tcBorders>
          <w:tl2br w:val="none" w:sz="0" w:space="0" w:color="auto"/>
          <w:tr2bl w:val="none" w:sz="0" w:space="0" w:color="auto"/>
        </w:tcBorders>
      </w:tcPr>
    </w:tblStylePr>
    <w:tblStylePr w:type="swCell">
      <w:rPr>
        <w:rFonts w:cs="Carta"/>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rta"/>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Carta"/>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Carta"/>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2"/>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locked/>
    <w:rPr>
      <w:rFonts w:cs="Times New Roman"/>
      <w:vertAlign w:val="superscript"/>
    </w:rPr>
  </w:style>
  <w:style w:type="paragraph" w:styleId="Voetnoottekst">
    <w:name w:val="footnote text"/>
    <w:basedOn w:val="Standaard"/>
    <w:link w:val="VoetnoottekstChar"/>
    <w:uiPriority w:val="99"/>
    <w:locked/>
    <w:pPr>
      <w:spacing w:line="180" w:lineRule="atLeast"/>
    </w:pPr>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0"/>
      </w:numPr>
    </w:pPr>
  </w:style>
  <w:style w:type="numbering" w:styleId="1ai">
    <w:name w:val="Outline List 1"/>
    <w:basedOn w:val="Geenlijst"/>
    <w:uiPriority w:val="99"/>
    <w:semiHidden/>
    <w:unhideWhenUsed/>
    <w:locked/>
    <w:pPr>
      <w:numPr>
        <w:numId w:val="19"/>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8"/>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tabs>
        <w:tab w:val="clear" w:pos="0"/>
        <w:tab w:val="num" w:pos="1728"/>
      </w:tabs>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35"/>
    <w:qFormat/>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1"/>
      </w:numPr>
      <w:spacing w:before="240"/>
      <w:outlineLvl w:val="2"/>
    </w:pPr>
    <w:rPr>
      <w:i/>
    </w:rPr>
  </w:style>
  <w:style w:type="paragraph" w:customStyle="1" w:styleId="BijlageGenummerdKop">
    <w:name w:val="BijlageGenummerdKop"/>
    <w:next w:val="Broodtekst"/>
    <w:uiPriority w:val="12"/>
    <w:qFormat/>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qFormat/>
    <w:rsid w:val="002A4BA7"/>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Standaardalinea-lettertype"/>
    <w:uiPriority w:val="1"/>
    <w:qFormat/>
    <w:rsid w:val="00042FBF"/>
    <w:rPr>
      <w:rFonts w:ascii="Verdana" w:hAnsi="Verdana"/>
      <w:b w:val="0"/>
      <w:caps w:val="0"/>
      <w:smallCaps w:val="0"/>
      <w:sz w:val="13"/>
    </w:rPr>
  </w:style>
  <w:style w:type="paragraph" w:customStyle="1" w:styleId="Huisstijl-Retouradres0">
    <w:name w:val="Huisstijl - Retouradres"/>
    <w:basedOn w:val="Standaard"/>
    <w:next w:val="Standaard"/>
    <w:rsid w:val="002A4BA7"/>
    <w:pPr>
      <w:widowControl w:val="0"/>
      <w:suppressAutoHyphens/>
      <w:autoSpaceDN w:val="0"/>
      <w:spacing w:line="180" w:lineRule="exact"/>
      <w:textAlignment w:val="baseline"/>
    </w:pPr>
    <w:rPr>
      <w:rFonts w:cs="Lohit Hindi"/>
      <w:kern w:val="3"/>
      <w:sz w:val="13"/>
      <w:lang w:eastAsia="zh-CN" w:bidi="hi-IN"/>
    </w:rPr>
  </w:style>
  <w:style w:type="paragraph" w:customStyle="1" w:styleId="Huisstijl-KoptekstRapportvolgbladen">
    <w:name w:val="Huisstijl - Koptekst Rapport volgbladen"/>
    <w:basedOn w:val="Standaard"/>
    <w:uiPriority w:val="16"/>
    <w:rsid w:val="00042FBF"/>
    <w:rPr>
      <w:sz w:val="13"/>
    </w:rPr>
  </w:style>
  <w:style w:type="paragraph" w:customStyle="1" w:styleId="broodtekst0">
    <w:name w:val="broodtekst"/>
    <w:basedOn w:val="Standaard"/>
    <w:link w:val="broodtekstChar3"/>
    <w:rsid w:val="001E2160"/>
    <w:pPr>
      <w:tabs>
        <w:tab w:val="left" w:pos="227"/>
        <w:tab w:val="left" w:pos="454"/>
        <w:tab w:val="left" w:pos="680"/>
      </w:tabs>
      <w:autoSpaceDE w:val="0"/>
      <w:autoSpaceDN w:val="0"/>
      <w:adjustRightInd w:val="0"/>
    </w:pPr>
    <w:rPr>
      <w:rFonts w:eastAsia="Times New Roman"/>
      <w:szCs w:val="20"/>
    </w:rPr>
  </w:style>
  <w:style w:type="character" w:customStyle="1" w:styleId="broodtekstChar3">
    <w:name w:val="broodtekst Char3"/>
    <w:link w:val="broodtekst0"/>
    <w:locked/>
    <w:rsid w:val="001E2160"/>
    <w:rPr>
      <w:rFonts w:ascii="Verdana" w:eastAsia="Times New Roman" w:hAnsi="Verdana" w:cs="Times New Roman"/>
      <w:sz w:val="18"/>
      <w:szCs w:val="20"/>
    </w:rPr>
  </w:style>
  <w:style w:type="paragraph" w:customStyle="1" w:styleId="Kop2Vet">
    <w:name w:val="Kop 2 + Vet"/>
    <w:aliases w:val="Niet Cursief,Zwart,Voor:  6 pt,Na:  3 pt,Regelafstand:  enkel + V..."/>
    <w:basedOn w:val="Kop2"/>
    <w:rsid w:val="001E2160"/>
    <w:pPr>
      <w:numPr>
        <w:ilvl w:val="1"/>
      </w:numPr>
      <w:spacing w:before="120" w:after="60" w:line="240" w:lineRule="auto"/>
    </w:pPr>
    <w:rPr>
      <w:rFonts w:eastAsia="Times New Roman"/>
      <w:i w:val="0"/>
      <w:color w:val="000000"/>
      <w:szCs w:val="18"/>
    </w:rPr>
  </w:style>
  <w:style w:type="character" w:customStyle="1" w:styleId="LijstalineaChar">
    <w:name w:val="Lijstalinea Char"/>
    <w:link w:val="Lijstalinea"/>
    <w:uiPriority w:val="34"/>
    <w:rsid w:val="001E2160"/>
    <w:rPr>
      <w:rFonts w:ascii="Verdana" w:hAnsi="Verdana" w:cs="Times New Roman"/>
      <w:sz w:val="18"/>
      <w:szCs w:val="24"/>
    </w:rPr>
  </w:style>
  <w:style w:type="paragraph" w:customStyle="1" w:styleId="Lijstalinea1">
    <w:name w:val="Lijstalinea1"/>
    <w:basedOn w:val="Standaard"/>
    <w:semiHidden/>
    <w:rsid w:val="001E2160"/>
    <w:pPr>
      <w:numPr>
        <w:numId w:val="23"/>
      </w:numPr>
      <w:spacing w:line="240" w:lineRule="auto"/>
    </w:pPr>
    <w:rPr>
      <w:rFonts w:eastAsia="Verdana"/>
      <w:szCs w:val="18"/>
      <w:lang w:eastAsia="en-US"/>
    </w:rPr>
  </w:style>
  <w:style w:type="character" w:styleId="Verwijzingopmerking">
    <w:name w:val="annotation reference"/>
    <w:basedOn w:val="Standaardalinea-lettertype"/>
    <w:uiPriority w:val="99"/>
    <w:semiHidden/>
    <w:unhideWhenUsed/>
    <w:locked/>
    <w:rsid w:val="00807156"/>
    <w:rPr>
      <w:sz w:val="16"/>
      <w:szCs w:val="16"/>
    </w:rPr>
  </w:style>
  <w:style w:type="paragraph" w:styleId="Tekstopmerking">
    <w:name w:val="annotation text"/>
    <w:basedOn w:val="Standaard"/>
    <w:link w:val="TekstopmerkingChar"/>
    <w:uiPriority w:val="99"/>
    <w:unhideWhenUsed/>
    <w:locked/>
    <w:rsid w:val="00807156"/>
    <w:pPr>
      <w:spacing w:line="240" w:lineRule="auto"/>
    </w:pPr>
    <w:rPr>
      <w:sz w:val="20"/>
      <w:szCs w:val="20"/>
    </w:rPr>
  </w:style>
  <w:style w:type="character" w:customStyle="1" w:styleId="TekstopmerkingChar">
    <w:name w:val="Tekst opmerking Char"/>
    <w:basedOn w:val="Standaardalinea-lettertype"/>
    <w:link w:val="Tekstopmerking"/>
    <w:uiPriority w:val="99"/>
    <w:rsid w:val="00807156"/>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807156"/>
    <w:rPr>
      <w:b/>
      <w:bCs/>
    </w:rPr>
  </w:style>
  <w:style w:type="character" w:customStyle="1" w:styleId="OnderwerpvanopmerkingChar">
    <w:name w:val="Onderwerp van opmerking Char"/>
    <w:basedOn w:val="TekstopmerkingChar"/>
    <w:link w:val="Onderwerpvanopmerking"/>
    <w:uiPriority w:val="99"/>
    <w:semiHidden/>
    <w:rsid w:val="00807156"/>
    <w:rPr>
      <w:rFonts w:ascii="Verdana" w:hAnsi="Verdana" w:cs="Times New Roman"/>
      <w:b/>
      <w:bCs/>
      <w:sz w:val="20"/>
      <w:szCs w:val="20"/>
    </w:rPr>
  </w:style>
  <w:style w:type="paragraph" w:styleId="Revisie">
    <w:name w:val="Revision"/>
    <w:hidden/>
    <w:uiPriority w:val="99"/>
    <w:semiHidden/>
    <w:rsid w:val="00B57204"/>
    <w:rPr>
      <w:rFonts w:ascii="Verdana" w:hAnsi="Verdana" w:cs="Times New Roman"/>
      <w:sz w:val="18"/>
      <w:szCs w:val="24"/>
    </w:rPr>
  </w:style>
  <w:style w:type="character" w:customStyle="1" w:styleId="broodtekstChar2">
    <w:name w:val="broodtekst Char2"/>
    <w:locked/>
    <w:rsid w:val="008128E6"/>
    <w:rPr>
      <w:rFonts w:ascii="Verdana" w:eastAsia="Times New Roman" w:hAnsi="Verdana" w:cs="Times New Roman"/>
      <w:sz w:val="18"/>
      <w:szCs w:val="18"/>
    </w:rPr>
  </w:style>
  <w:style w:type="character" w:customStyle="1" w:styleId="broodtekstChar">
    <w:name w:val="broodtekst Char"/>
    <w:rsid w:val="00757AA0"/>
    <w:rPr>
      <w:rFonts w:ascii="Verdana" w:eastAsia="MS Mincho" w:hAnsi="Verdana" w:cs="Times New Roman"/>
      <w:sz w:val="18"/>
      <w:szCs w:val="18"/>
    </w:rPr>
  </w:style>
  <w:style w:type="paragraph" w:customStyle="1" w:styleId="Standaard1">
    <w:name w:val="Standaard1"/>
    <w:rsid w:val="006E60F0"/>
    <w:pPr>
      <w:autoSpaceDN w:val="0"/>
      <w:spacing w:line="240" w:lineRule="exact"/>
    </w:pPr>
    <w:rPr>
      <w:rFonts w:ascii="Verdana" w:hAnsi="Verdana"/>
      <w:color w:val="000000"/>
      <w:sz w:val="18"/>
      <w:szCs w:val="18"/>
      <w:lang w:val="en-US" w:eastAsia="en-US"/>
    </w:rPr>
  </w:style>
  <w:style w:type="character" w:customStyle="1" w:styleId="normaltextrun">
    <w:name w:val="normaltextrun"/>
    <w:basedOn w:val="Standaardalinea-lettertype"/>
    <w:rsid w:val="00BE3B89"/>
  </w:style>
  <w:style w:type="paragraph" w:customStyle="1" w:styleId="paragraph">
    <w:name w:val="paragraph"/>
    <w:basedOn w:val="Standaard"/>
    <w:rsid w:val="00BE3B89"/>
    <w:pPr>
      <w:spacing w:before="100" w:beforeAutospacing="1" w:after="100" w:afterAutospacing="1" w:line="240" w:lineRule="auto"/>
    </w:pPr>
    <w:rPr>
      <w:rFonts w:ascii="Times New Roman" w:eastAsia="Times New Roman" w:hAnsi="Times New Roman"/>
      <w:sz w:val="24"/>
    </w:rPr>
  </w:style>
  <w:style w:type="table" w:styleId="Rastertabel4-Accent1">
    <w:name w:val="Grid Table 4 Accent 1"/>
    <w:basedOn w:val="Standaardtabel"/>
    <w:uiPriority w:val="49"/>
    <w:rsid w:val="00EE4AB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4254">
      <w:bodyDiv w:val="1"/>
      <w:marLeft w:val="0"/>
      <w:marRight w:val="0"/>
      <w:marTop w:val="0"/>
      <w:marBottom w:val="0"/>
      <w:divBdr>
        <w:top w:val="none" w:sz="0" w:space="0" w:color="auto"/>
        <w:left w:val="none" w:sz="0" w:space="0" w:color="auto"/>
        <w:bottom w:val="none" w:sz="0" w:space="0" w:color="auto"/>
        <w:right w:val="none" w:sz="0" w:space="0" w:color="auto"/>
      </w:divBdr>
    </w:div>
    <w:div w:id="75174811">
      <w:bodyDiv w:val="1"/>
      <w:marLeft w:val="0"/>
      <w:marRight w:val="0"/>
      <w:marTop w:val="0"/>
      <w:marBottom w:val="0"/>
      <w:divBdr>
        <w:top w:val="none" w:sz="0" w:space="0" w:color="auto"/>
        <w:left w:val="none" w:sz="0" w:space="0" w:color="auto"/>
        <w:bottom w:val="none" w:sz="0" w:space="0" w:color="auto"/>
        <w:right w:val="none" w:sz="0" w:space="0" w:color="auto"/>
      </w:divBdr>
    </w:div>
    <w:div w:id="169217180">
      <w:bodyDiv w:val="1"/>
      <w:marLeft w:val="0"/>
      <w:marRight w:val="0"/>
      <w:marTop w:val="0"/>
      <w:marBottom w:val="0"/>
      <w:divBdr>
        <w:top w:val="none" w:sz="0" w:space="0" w:color="auto"/>
        <w:left w:val="none" w:sz="0" w:space="0" w:color="auto"/>
        <w:bottom w:val="none" w:sz="0" w:space="0" w:color="auto"/>
        <w:right w:val="none" w:sz="0" w:space="0" w:color="auto"/>
      </w:divBdr>
      <w:divsChild>
        <w:div w:id="1597667023">
          <w:marLeft w:val="0"/>
          <w:marRight w:val="0"/>
          <w:marTop w:val="0"/>
          <w:marBottom w:val="0"/>
          <w:divBdr>
            <w:top w:val="none" w:sz="0" w:space="0" w:color="auto"/>
            <w:left w:val="none" w:sz="0" w:space="0" w:color="auto"/>
            <w:bottom w:val="none" w:sz="0" w:space="0" w:color="auto"/>
            <w:right w:val="none" w:sz="0" w:space="0" w:color="auto"/>
          </w:divBdr>
          <w:divsChild>
            <w:div w:id="1769229717">
              <w:marLeft w:val="0"/>
              <w:marRight w:val="0"/>
              <w:marTop w:val="0"/>
              <w:marBottom w:val="0"/>
              <w:divBdr>
                <w:top w:val="none" w:sz="0" w:space="0" w:color="auto"/>
                <w:left w:val="none" w:sz="0" w:space="0" w:color="auto"/>
                <w:bottom w:val="none" w:sz="0" w:space="0" w:color="auto"/>
                <w:right w:val="none" w:sz="0" w:space="0" w:color="auto"/>
              </w:divBdr>
              <w:divsChild>
                <w:div w:id="1410738001">
                  <w:marLeft w:val="0"/>
                  <w:marRight w:val="0"/>
                  <w:marTop w:val="0"/>
                  <w:marBottom w:val="0"/>
                  <w:divBdr>
                    <w:top w:val="none" w:sz="0" w:space="0" w:color="auto"/>
                    <w:left w:val="none" w:sz="0" w:space="0" w:color="auto"/>
                    <w:bottom w:val="none" w:sz="0" w:space="0" w:color="auto"/>
                    <w:right w:val="none" w:sz="0" w:space="0" w:color="auto"/>
                  </w:divBdr>
                  <w:divsChild>
                    <w:div w:id="1049379954">
                      <w:marLeft w:val="0"/>
                      <w:marRight w:val="0"/>
                      <w:marTop w:val="0"/>
                      <w:marBottom w:val="0"/>
                      <w:divBdr>
                        <w:top w:val="none" w:sz="0" w:space="0" w:color="auto"/>
                        <w:left w:val="none" w:sz="0" w:space="0" w:color="auto"/>
                        <w:bottom w:val="none" w:sz="0" w:space="0" w:color="auto"/>
                        <w:right w:val="none" w:sz="0" w:space="0" w:color="auto"/>
                      </w:divBdr>
                      <w:divsChild>
                        <w:div w:id="1757433172">
                          <w:marLeft w:val="0"/>
                          <w:marRight w:val="0"/>
                          <w:marTop w:val="0"/>
                          <w:marBottom w:val="0"/>
                          <w:divBdr>
                            <w:top w:val="none" w:sz="0" w:space="0" w:color="auto"/>
                            <w:left w:val="none" w:sz="0" w:space="0" w:color="auto"/>
                            <w:bottom w:val="none" w:sz="0" w:space="0" w:color="auto"/>
                            <w:right w:val="none" w:sz="0" w:space="0" w:color="auto"/>
                          </w:divBdr>
                          <w:divsChild>
                            <w:div w:id="396439945">
                              <w:marLeft w:val="0"/>
                              <w:marRight w:val="0"/>
                              <w:marTop w:val="0"/>
                              <w:marBottom w:val="0"/>
                              <w:divBdr>
                                <w:top w:val="none" w:sz="0" w:space="0" w:color="auto"/>
                                <w:left w:val="none" w:sz="0" w:space="0" w:color="auto"/>
                                <w:bottom w:val="none" w:sz="0" w:space="0" w:color="auto"/>
                                <w:right w:val="none" w:sz="0" w:space="0" w:color="auto"/>
                              </w:divBdr>
                              <w:divsChild>
                                <w:div w:id="10356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568329">
      <w:bodyDiv w:val="1"/>
      <w:marLeft w:val="0"/>
      <w:marRight w:val="0"/>
      <w:marTop w:val="0"/>
      <w:marBottom w:val="0"/>
      <w:divBdr>
        <w:top w:val="none" w:sz="0" w:space="0" w:color="auto"/>
        <w:left w:val="none" w:sz="0" w:space="0" w:color="auto"/>
        <w:bottom w:val="none" w:sz="0" w:space="0" w:color="auto"/>
        <w:right w:val="none" w:sz="0" w:space="0" w:color="auto"/>
      </w:divBdr>
    </w:div>
    <w:div w:id="259143712">
      <w:bodyDiv w:val="1"/>
      <w:marLeft w:val="0"/>
      <w:marRight w:val="0"/>
      <w:marTop w:val="0"/>
      <w:marBottom w:val="0"/>
      <w:divBdr>
        <w:top w:val="none" w:sz="0" w:space="0" w:color="auto"/>
        <w:left w:val="none" w:sz="0" w:space="0" w:color="auto"/>
        <w:bottom w:val="none" w:sz="0" w:space="0" w:color="auto"/>
        <w:right w:val="none" w:sz="0" w:space="0" w:color="auto"/>
      </w:divBdr>
    </w:div>
    <w:div w:id="307249093">
      <w:bodyDiv w:val="1"/>
      <w:marLeft w:val="0"/>
      <w:marRight w:val="0"/>
      <w:marTop w:val="0"/>
      <w:marBottom w:val="0"/>
      <w:divBdr>
        <w:top w:val="none" w:sz="0" w:space="0" w:color="auto"/>
        <w:left w:val="none" w:sz="0" w:space="0" w:color="auto"/>
        <w:bottom w:val="none" w:sz="0" w:space="0" w:color="auto"/>
        <w:right w:val="none" w:sz="0" w:space="0" w:color="auto"/>
      </w:divBdr>
    </w:div>
    <w:div w:id="352388870">
      <w:bodyDiv w:val="1"/>
      <w:marLeft w:val="0"/>
      <w:marRight w:val="0"/>
      <w:marTop w:val="0"/>
      <w:marBottom w:val="0"/>
      <w:divBdr>
        <w:top w:val="none" w:sz="0" w:space="0" w:color="auto"/>
        <w:left w:val="none" w:sz="0" w:space="0" w:color="auto"/>
        <w:bottom w:val="none" w:sz="0" w:space="0" w:color="auto"/>
        <w:right w:val="none" w:sz="0" w:space="0" w:color="auto"/>
      </w:divBdr>
    </w:div>
    <w:div w:id="433211468">
      <w:bodyDiv w:val="1"/>
      <w:marLeft w:val="0"/>
      <w:marRight w:val="0"/>
      <w:marTop w:val="0"/>
      <w:marBottom w:val="0"/>
      <w:divBdr>
        <w:top w:val="none" w:sz="0" w:space="0" w:color="auto"/>
        <w:left w:val="none" w:sz="0" w:space="0" w:color="auto"/>
        <w:bottom w:val="none" w:sz="0" w:space="0" w:color="auto"/>
        <w:right w:val="none" w:sz="0" w:space="0" w:color="auto"/>
      </w:divBdr>
    </w:div>
    <w:div w:id="449327255">
      <w:bodyDiv w:val="1"/>
      <w:marLeft w:val="0"/>
      <w:marRight w:val="0"/>
      <w:marTop w:val="0"/>
      <w:marBottom w:val="0"/>
      <w:divBdr>
        <w:top w:val="none" w:sz="0" w:space="0" w:color="auto"/>
        <w:left w:val="none" w:sz="0" w:space="0" w:color="auto"/>
        <w:bottom w:val="none" w:sz="0" w:space="0" w:color="auto"/>
        <w:right w:val="none" w:sz="0" w:space="0" w:color="auto"/>
      </w:divBdr>
    </w:div>
    <w:div w:id="468478829">
      <w:bodyDiv w:val="1"/>
      <w:marLeft w:val="0"/>
      <w:marRight w:val="0"/>
      <w:marTop w:val="0"/>
      <w:marBottom w:val="0"/>
      <w:divBdr>
        <w:top w:val="none" w:sz="0" w:space="0" w:color="auto"/>
        <w:left w:val="none" w:sz="0" w:space="0" w:color="auto"/>
        <w:bottom w:val="none" w:sz="0" w:space="0" w:color="auto"/>
        <w:right w:val="none" w:sz="0" w:space="0" w:color="auto"/>
      </w:divBdr>
    </w:div>
    <w:div w:id="587927020">
      <w:bodyDiv w:val="1"/>
      <w:marLeft w:val="0"/>
      <w:marRight w:val="0"/>
      <w:marTop w:val="0"/>
      <w:marBottom w:val="0"/>
      <w:divBdr>
        <w:top w:val="none" w:sz="0" w:space="0" w:color="auto"/>
        <w:left w:val="none" w:sz="0" w:space="0" w:color="auto"/>
        <w:bottom w:val="none" w:sz="0" w:space="0" w:color="auto"/>
        <w:right w:val="none" w:sz="0" w:space="0" w:color="auto"/>
      </w:divBdr>
      <w:divsChild>
        <w:div w:id="1111240037">
          <w:marLeft w:val="0"/>
          <w:marRight w:val="0"/>
          <w:marTop w:val="0"/>
          <w:marBottom w:val="0"/>
          <w:divBdr>
            <w:top w:val="none" w:sz="0" w:space="0" w:color="auto"/>
            <w:left w:val="none" w:sz="0" w:space="0" w:color="auto"/>
            <w:bottom w:val="none" w:sz="0" w:space="0" w:color="auto"/>
            <w:right w:val="none" w:sz="0" w:space="0" w:color="auto"/>
          </w:divBdr>
          <w:divsChild>
            <w:div w:id="174737541">
              <w:marLeft w:val="0"/>
              <w:marRight w:val="0"/>
              <w:marTop w:val="0"/>
              <w:marBottom w:val="0"/>
              <w:divBdr>
                <w:top w:val="none" w:sz="0" w:space="0" w:color="auto"/>
                <w:left w:val="none" w:sz="0" w:space="0" w:color="auto"/>
                <w:bottom w:val="none" w:sz="0" w:space="0" w:color="auto"/>
                <w:right w:val="none" w:sz="0" w:space="0" w:color="auto"/>
              </w:divBdr>
              <w:divsChild>
                <w:div w:id="1851942562">
                  <w:marLeft w:val="0"/>
                  <w:marRight w:val="0"/>
                  <w:marTop w:val="0"/>
                  <w:marBottom w:val="0"/>
                  <w:divBdr>
                    <w:top w:val="none" w:sz="0" w:space="0" w:color="auto"/>
                    <w:left w:val="none" w:sz="0" w:space="0" w:color="auto"/>
                    <w:bottom w:val="none" w:sz="0" w:space="0" w:color="auto"/>
                    <w:right w:val="none" w:sz="0" w:space="0" w:color="auto"/>
                  </w:divBdr>
                  <w:divsChild>
                    <w:div w:id="550920465">
                      <w:marLeft w:val="0"/>
                      <w:marRight w:val="0"/>
                      <w:marTop w:val="0"/>
                      <w:marBottom w:val="0"/>
                      <w:divBdr>
                        <w:top w:val="none" w:sz="0" w:space="0" w:color="auto"/>
                        <w:left w:val="none" w:sz="0" w:space="0" w:color="auto"/>
                        <w:bottom w:val="none" w:sz="0" w:space="0" w:color="auto"/>
                        <w:right w:val="none" w:sz="0" w:space="0" w:color="auto"/>
                      </w:divBdr>
                      <w:divsChild>
                        <w:div w:id="99449929">
                          <w:marLeft w:val="0"/>
                          <w:marRight w:val="0"/>
                          <w:marTop w:val="0"/>
                          <w:marBottom w:val="0"/>
                          <w:divBdr>
                            <w:top w:val="none" w:sz="0" w:space="0" w:color="auto"/>
                            <w:left w:val="none" w:sz="0" w:space="0" w:color="auto"/>
                            <w:bottom w:val="none" w:sz="0" w:space="0" w:color="auto"/>
                            <w:right w:val="none" w:sz="0" w:space="0" w:color="auto"/>
                          </w:divBdr>
                          <w:divsChild>
                            <w:div w:id="828248812">
                              <w:marLeft w:val="0"/>
                              <w:marRight w:val="0"/>
                              <w:marTop w:val="0"/>
                              <w:marBottom w:val="0"/>
                              <w:divBdr>
                                <w:top w:val="none" w:sz="0" w:space="0" w:color="auto"/>
                                <w:left w:val="none" w:sz="0" w:space="0" w:color="auto"/>
                                <w:bottom w:val="none" w:sz="0" w:space="0" w:color="auto"/>
                                <w:right w:val="none" w:sz="0" w:space="0" w:color="auto"/>
                              </w:divBdr>
                              <w:divsChild>
                                <w:div w:id="101576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068661">
      <w:bodyDiv w:val="1"/>
      <w:marLeft w:val="0"/>
      <w:marRight w:val="0"/>
      <w:marTop w:val="0"/>
      <w:marBottom w:val="0"/>
      <w:divBdr>
        <w:top w:val="none" w:sz="0" w:space="0" w:color="auto"/>
        <w:left w:val="none" w:sz="0" w:space="0" w:color="auto"/>
        <w:bottom w:val="none" w:sz="0" w:space="0" w:color="auto"/>
        <w:right w:val="none" w:sz="0" w:space="0" w:color="auto"/>
      </w:divBdr>
    </w:div>
    <w:div w:id="684210122">
      <w:bodyDiv w:val="1"/>
      <w:marLeft w:val="0"/>
      <w:marRight w:val="0"/>
      <w:marTop w:val="0"/>
      <w:marBottom w:val="0"/>
      <w:divBdr>
        <w:top w:val="none" w:sz="0" w:space="0" w:color="auto"/>
        <w:left w:val="none" w:sz="0" w:space="0" w:color="auto"/>
        <w:bottom w:val="none" w:sz="0" w:space="0" w:color="auto"/>
        <w:right w:val="none" w:sz="0" w:space="0" w:color="auto"/>
      </w:divBdr>
    </w:div>
    <w:div w:id="754058451">
      <w:bodyDiv w:val="1"/>
      <w:marLeft w:val="0"/>
      <w:marRight w:val="0"/>
      <w:marTop w:val="0"/>
      <w:marBottom w:val="0"/>
      <w:divBdr>
        <w:top w:val="none" w:sz="0" w:space="0" w:color="auto"/>
        <w:left w:val="none" w:sz="0" w:space="0" w:color="auto"/>
        <w:bottom w:val="none" w:sz="0" w:space="0" w:color="auto"/>
        <w:right w:val="none" w:sz="0" w:space="0" w:color="auto"/>
      </w:divBdr>
      <w:divsChild>
        <w:div w:id="163253660">
          <w:marLeft w:val="562"/>
          <w:marRight w:val="0"/>
          <w:marTop w:val="72"/>
          <w:marBottom w:val="0"/>
          <w:divBdr>
            <w:top w:val="none" w:sz="0" w:space="0" w:color="auto"/>
            <w:left w:val="none" w:sz="0" w:space="0" w:color="auto"/>
            <w:bottom w:val="none" w:sz="0" w:space="0" w:color="auto"/>
            <w:right w:val="none" w:sz="0" w:space="0" w:color="auto"/>
          </w:divBdr>
        </w:div>
        <w:div w:id="175384286">
          <w:marLeft w:val="1224"/>
          <w:marRight w:val="0"/>
          <w:marTop w:val="72"/>
          <w:marBottom w:val="0"/>
          <w:divBdr>
            <w:top w:val="none" w:sz="0" w:space="0" w:color="auto"/>
            <w:left w:val="none" w:sz="0" w:space="0" w:color="auto"/>
            <w:bottom w:val="none" w:sz="0" w:space="0" w:color="auto"/>
            <w:right w:val="none" w:sz="0" w:space="0" w:color="auto"/>
          </w:divBdr>
        </w:div>
        <w:div w:id="206724963">
          <w:marLeft w:val="562"/>
          <w:marRight w:val="0"/>
          <w:marTop w:val="72"/>
          <w:marBottom w:val="0"/>
          <w:divBdr>
            <w:top w:val="none" w:sz="0" w:space="0" w:color="auto"/>
            <w:left w:val="none" w:sz="0" w:space="0" w:color="auto"/>
            <w:bottom w:val="none" w:sz="0" w:space="0" w:color="auto"/>
            <w:right w:val="none" w:sz="0" w:space="0" w:color="auto"/>
          </w:divBdr>
        </w:div>
        <w:div w:id="295377652">
          <w:marLeft w:val="562"/>
          <w:marRight w:val="0"/>
          <w:marTop w:val="72"/>
          <w:marBottom w:val="0"/>
          <w:divBdr>
            <w:top w:val="none" w:sz="0" w:space="0" w:color="auto"/>
            <w:left w:val="none" w:sz="0" w:space="0" w:color="auto"/>
            <w:bottom w:val="none" w:sz="0" w:space="0" w:color="auto"/>
            <w:right w:val="none" w:sz="0" w:space="0" w:color="auto"/>
          </w:divBdr>
        </w:div>
        <w:div w:id="476730013">
          <w:marLeft w:val="562"/>
          <w:marRight w:val="0"/>
          <w:marTop w:val="72"/>
          <w:marBottom w:val="0"/>
          <w:divBdr>
            <w:top w:val="none" w:sz="0" w:space="0" w:color="auto"/>
            <w:left w:val="none" w:sz="0" w:space="0" w:color="auto"/>
            <w:bottom w:val="none" w:sz="0" w:space="0" w:color="auto"/>
            <w:right w:val="none" w:sz="0" w:space="0" w:color="auto"/>
          </w:divBdr>
        </w:div>
        <w:div w:id="632948450">
          <w:marLeft w:val="562"/>
          <w:marRight w:val="0"/>
          <w:marTop w:val="72"/>
          <w:marBottom w:val="0"/>
          <w:divBdr>
            <w:top w:val="none" w:sz="0" w:space="0" w:color="auto"/>
            <w:left w:val="none" w:sz="0" w:space="0" w:color="auto"/>
            <w:bottom w:val="none" w:sz="0" w:space="0" w:color="auto"/>
            <w:right w:val="none" w:sz="0" w:space="0" w:color="auto"/>
          </w:divBdr>
        </w:div>
        <w:div w:id="677730736">
          <w:marLeft w:val="562"/>
          <w:marRight w:val="0"/>
          <w:marTop w:val="72"/>
          <w:marBottom w:val="0"/>
          <w:divBdr>
            <w:top w:val="none" w:sz="0" w:space="0" w:color="auto"/>
            <w:left w:val="none" w:sz="0" w:space="0" w:color="auto"/>
            <w:bottom w:val="none" w:sz="0" w:space="0" w:color="auto"/>
            <w:right w:val="none" w:sz="0" w:space="0" w:color="auto"/>
          </w:divBdr>
        </w:div>
        <w:div w:id="1000888877">
          <w:marLeft w:val="562"/>
          <w:marRight w:val="0"/>
          <w:marTop w:val="72"/>
          <w:marBottom w:val="0"/>
          <w:divBdr>
            <w:top w:val="none" w:sz="0" w:space="0" w:color="auto"/>
            <w:left w:val="none" w:sz="0" w:space="0" w:color="auto"/>
            <w:bottom w:val="none" w:sz="0" w:space="0" w:color="auto"/>
            <w:right w:val="none" w:sz="0" w:space="0" w:color="auto"/>
          </w:divBdr>
        </w:div>
        <w:div w:id="1336035064">
          <w:marLeft w:val="1224"/>
          <w:marRight w:val="0"/>
          <w:marTop w:val="72"/>
          <w:marBottom w:val="0"/>
          <w:divBdr>
            <w:top w:val="none" w:sz="0" w:space="0" w:color="auto"/>
            <w:left w:val="none" w:sz="0" w:space="0" w:color="auto"/>
            <w:bottom w:val="none" w:sz="0" w:space="0" w:color="auto"/>
            <w:right w:val="none" w:sz="0" w:space="0" w:color="auto"/>
          </w:divBdr>
        </w:div>
        <w:div w:id="1602181954">
          <w:marLeft w:val="1224"/>
          <w:marRight w:val="0"/>
          <w:marTop w:val="72"/>
          <w:marBottom w:val="0"/>
          <w:divBdr>
            <w:top w:val="none" w:sz="0" w:space="0" w:color="auto"/>
            <w:left w:val="none" w:sz="0" w:space="0" w:color="auto"/>
            <w:bottom w:val="none" w:sz="0" w:space="0" w:color="auto"/>
            <w:right w:val="none" w:sz="0" w:space="0" w:color="auto"/>
          </w:divBdr>
        </w:div>
        <w:div w:id="1942489703">
          <w:marLeft w:val="1224"/>
          <w:marRight w:val="0"/>
          <w:marTop w:val="72"/>
          <w:marBottom w:val="0"/>
          <w:divBdr>
            <w:top w:val="none" w:sz="0" w:space="0" w:color="auto"/>
            <w:left w:val="none" w:sz="0" w:space="0" w:color="auto"/>
            <w:bottom w:val="none" w:sz="0" w:space="0" w:color="auto"/>
            <w:right w:val="none" w:sz="0" w:space="0" w:color="auto"/>
          </w:divBdr>
        </w:div>
      </w:divsChild>
    </w:div>
    <w:div w:id="795950513">
      <w:bodyDiv w:val="1"/>
      <w:marLeft w:val="0"/>
      <w:marRight w:val="0"/>
      <w:marTop w:val="0"/>
      <w:marBottom w:val="0"/>
      <w:divBdr>
        <w:top w:val="none" w:sz="0" w:space="0" w:color="auto"/>
        <w:left w:val="none" w:sz="0" w:space="0" w:color="auto"/>
        <w:bottom w:val="none" w:sz="0" w:space="0" w:color="auto"/>
        <w:right w:val="none" w:sz="0" w:space="0" w:color="auto"/>
      </w:divBdr>
    </w:div>
    <w:div w:id="804660807">
      <w:bodyDiv w:val="1"/>
      <w:marLeft w:val="0"/>
      <w:marRight w:val="0"/>
      <w:marTop w:val="0"/>
      <w:marBottom w:val="0"/>
      <w:divBdr>
        <w:top w:val="none" w:sz="0" w:space="0" w:color="auto"/>
        <w:left w:val="none" w:sz="0" w:space="0" w:color="auto"/>
        <w:bottom w:val="none" w:sz="0" w:space="0" w:color="auto"/>
        <w:right w:val="none" w:sz="0" w:space="0" w:color="auto"/>
      </w:divBdr>
    </w:div>
    <w:div w:id="873690073">
      <w:bodyDiv w:val="1"/>
      <w:marLeft w:val="0"/>
      <w:marRight w:val="0"/>
      <w:marTop w:val="0"/>
      <w:marBottom w:val="0"/>
      <w:divBdr>
        <w:top w:val="none" w:sz="0" w:space="0" w:color="auto"/>
        <w:left w:val="none" w:sz="0" w:space="0" w:color="auto"/>
        <w:bottom w:val="none" w:sz="0" w:space="0" w:color="auto"/>
        <w:right w:val="none" w:sz="0" w:space="0" w:color="auto"/>
      </w:divBdr>
    </w:div>
    <w:div w:id="921992489">
      <w:bodyDiv w:val="1"/>
      <w:marLeft w:val="0"/>
      <w:marRight w:val="0"/>
      <w:marTop w:val="0"/>
      <w:marBottom w:val="0"/>
      <w:divBdr>
        <w:top w:val="none" w:sz="0" w:space="0" w:color="auto"/>
        <w:left w:val="none" w:sz="0" w:space="0" w:color="auto"/>
        <w:bottom w:val="none" w:sz="0" w:space="0" w:color="auto"/>
        <w:right w:val="none" w:sz="0" w:space="0" w:color="auto"/>
      </w:divBdr>
    </w:div>
    <w:div w:id="923562966">
      <w:bodyDiv w:val="1"/>
      <w:marLeft w:val="0"/>
      <w:marRight w:val="0"/>
      <w:marTop w:val="0"/>
      <w:marBottom w:val="0"/>
      <w:divBdr>
        <w:top w:val="none" w:sz="0" w:space="0" w:color="auto"/>
        <w:left w:val="none" w:sz="0" w:space="0" w:color="auto"/>
        <w:bottom w:val="none" w:sz="0" w:space="0" w:color="auto"/>
        <w:right w:val="none" w:sz="0" w:space="0" w:color="auto"/>
      </w:divBdr>
    </w:div>
    <w:div w:id="982931434">
      <w:bodyDiv w:val="1"/>
      <w:marLeft w:val="0"/>
      <w:marRight w:val="0"/>
      <w:marTop w:val="0"/>
      <w:marBottom w:val="0"/>
      <w:divBdr>
        <w:top w:val="none" w:sz="0" w:space="0" w:color="auto"/>
        <w:left w:val="none" w:sz="0" w:space="0" w:color="auto"/>
        <w:bottom w:val="none" w:sz="0" w:space="0" w:color="auto"/>
        <w:right w:val="none" w:sz="0" w:space="0" w:color="auto"/>
      </w:divBdr>
    </w:div>
    <w:div w:id="1077895234">
      <w:bodyDiv w:val="1"/>
      <w:marLeft w:val="0"/>
      <w:marRight w:val="0"/>
      <w:marTop w:val="0"/>
      <w:marBottom w:val="0"/>
      <w:divBdr>
        <w:top w:val="none" w:sz="0" w:space="0" w:color="auto"/>
        <w:left w:val="none" w:sz="0" w:space="0" w:color="auto"/>
        <w:bottom w:val="none" w:sz="0" w:space="0" w:color="auto"/>
        <w:right w:val="none" w:sz="0" w:space="0" w:color="auto"/>
      </w:divBdr>
    </w:div>
    <w:div w:id="1138110903">
      <w:bodyDiv w:val="1"/>
      <w:marLeft w:val="0"/>
      <w:marRight w:val="0"/>
      <w:marTop w:val="0"/>
      <w:marBottom w:val="0"/>
      <w:divBdr>
        <w:top w:val="none" w:sz="0" w:space="0" w:color="auto"/>
        <w:left w:val="none" w:sz="0" w:space="0" w:color="auto"/>
        <w:bottom w:val="none" w:sz="0" w:space="0" w:color="auto"/>
        <w:right w:val="none" w:sz="0" w:space="0" w:color="auto"/>
      </w:divBdr>
    </w:div>
    <w:div w:id="1141266458">
      <w:bodyDiv w:val="1"/>
      <w:marLeft w:val="0"/>
      <w:marRight w:val="0"/>
      <w:marTop w:val="0"/>
      <w:marBottom w:val="0"/>
      <w:divBdr>
        <w:top w:val="none" w:sz="0" w:space="0" w:color="auto"/>
        <w:left w:val="none" w:sz="0" w:space="0" w:color="auto"/>
        <w:bottom w:val="none" w:sz="0" w:space="0" w:color="auto"/>
        <w:right w:val="none" w:sz="0" w:space="0" w:color="auto"/>
      </w:divBdr>
    </w:div>
    <w:div w:id="1160006138">
      <w:bodyDiv w:val="1"/>
      <w:marLeft w:val="0"/>
      <w:marRight w:val="0"/>
      <w:marTop w:val="0"/>
      <w:marBottom w:val="0"/>
      <w:divBdr>
        <w:top w:val="none" w:sz="0" w:space="0" w:color="auto"/>
        <w:left w:val="none" w:sz="0" w:space="0" w:color="auto"/>
        <w:bottom w:val="none" w:sz="0" w:space="0" w:color="auto"/>
        <w:right w:val="none" w:sz="0" w:space="0" w:color="auto"/>
      </w:divBdr>
      <w:divsChild>
        <w:div w:id="543442440">
          <w:marLeft w:val="360"/>
          <w:marRight w:val="0"/>
          <w:marTop w:val="0"/>
          <w:marBottom w:val="0"/>
          <w:divBdr>
            <w:top w:val="none" w:sz="0" w:space="0" w:color="auto"/>
            <w:left w:val="none" w:sz="0" w:space="0" w:color="auto"/>
            <w:bottom w:val="none" w:sz="0" w:space="0" w:color="auto"/>
            <w:right w:val="none" w:sz="0" w:space="0" w:color="auto"/>
          </w:divBdr>
        </w:div>
        <w:div w:id="1445809991">
          <w:marLeft w:val="360"/>
          <w:marRight w:val="0"/>
          <w:marTop w:val="0"/>
          <w:marBottom w:val="0"/>
          <w:divBdr>
            <w:top w:val="none" w:sz="0" w:space="0" w:color="auto"/>
            <w:left w:val="none" w:sz="0" w:space="0" w:color="auto"/>
            <w:bottom w:val="none" w:sz="0" w:space="0" w:color="auto"/>
            <w:right w:val="none" w:sz="0" w:space="0" w:color="auto"/>
          </w:divBdr>
        </w:div>
        <w:div w:id="1567371831">
          <w:marLeft w:val="360"/>
          <w:marRight w:val="0"/>
          <w:marTop w:val="0"/>
          <w:marBottom w:val="0"/>
          <w:divBdr>
            <w:top w:val="none" w:sz="0" w:space="0" w:color="auto"/>
            <w:left w:val="none" w:sz="0" w:space="0" w:color="auto"/>
            <w:bottom w:val="none" w:sz="0" w:space="0" w:color="auto"/>
            <w:right w:val="none" w:sz="0" w:space="0" w:color="auto"/>
          </w:divBdr>
        </w:div>
        <w:div w:id="1582135423">
          <w:marLeft w:val="360"/>
          <w:marRight w:val="0"/>
          <w:marTop w:val="0"/>
          <w:marBottom w:val="0"/>
          <w:divBdr>
            <w:top w:val="none" w:sz="0" w:space="0" w:color="auto"/>
            <w:left w:val="none" w:sz="0" w:space="0" w:color="auto"/>
            <w:bottom w:val="none" w:sz="0" w:space="0" w:color="auto"/>
            <w:right w:val="none" w:sz="0" w:space="0" w:color="auto"/>
          </w:divBdr>
        </w:div>
        <w:div w:id="1644113465">
          <w:marLeft w:val="360"/>
          <w:marRight w:val="0"/>
          <w:marTop w:val="0"/>
          <w:marBottom w:val="0"/>
          <w:divBdr>
            <w:top w:val="none" w:sz="0" w:space="0" w:color="auto"/>
            <w:left w:val="none" w:sz="0" w:space="0" w:color="auto"/>
            <w:bottom w:val="none" w:sz="0" w:space="0" w:color="auto"/>
            <w:right w:val="none" w:sz="0" w:space="0" w:color="auto"/>
          </w:divBdr>
        </w:div>
        <w:div w:id="1646159228">
          <w:marLeft w:val="360"/>
          <w:marRight w:val="0"/>
          <w:marTop w:val="0"/>
          <w:marBottom w:val="0"/>
          <w:divBdr>
            <w:top w:val="none" w:sz="0" w:space="0" w:color="auto"/>
            <w:left w:val="none" w:sz="0" w:space="0" w:color="auto"/>
            <w:bottom w:val="none" w:sz="0" w:space="0" w:color="auto"/>
            <w:right w:val="none" w:sz="0" w:space="0" w:color="auto"/>
          </w:divBdr>
        </w:div>
        <w:div w:id="1667050944">
          <w:marLeft w:val="360"/>
          <w:marRight w:val="0"/>
          <w:marTop w:val="0"/>
          <w:marBottom w:val="0"/>
          <w:divBdr>
            <w:top w:val="none" w:sz="0" w:space="0" w:color="auto"/>
            <w:left w:val="none" w:sz="0" w:space="0" w:color="auto"/>
            <w:bottom w:val="none" w:sz="0" w:space="0" w:color="auto"/>
            <w:right w:val="none" w:sz="0" w:space="0" w:color="auto"/>
          </w:divBdr>
        </w:div>
        <w:div w:id="1889494716">
          <w:marLeft w:val="1166"/>
          <w:marRight w:val="0"/>
          <w:marTop w:val="0"/>
          <w:marBottom w:val="0"/>
          <w:divBdr>
            <w:top w:val="none" w:sz="0" w:space="0" w:color="auto"/>
            <w:left w:val="none" w:sz="0" w:space="0" w:color="auto"/>
            <w:bottom w:val="none" w:sz="0" w:space="0" w:color="auto"/>
            <w:right w:val="none" w:sz="0" w:space="0" w:color="auto"/>
          </w:divBdr>
        </w:div>
        <w:div w:id="2105027682">
          <w:marLeft w:val="360"/>
          <w:marRight w:val="0"/>
          <w:marTop w:val="0"/>
          <w:marBottom w:val="0"/>
          <w:divBdr>
            <w:top w:val="none" w:sz="0" w:space="0" w:color="auto"/>
            <w:left w:val="none" w:sz="0" w:space="0" w:color="auto"/>
            <w:bottom w:val="none" w:sz="0" w:space="0" w:color="auto"/>
            <w:right w:val="none" w:sz="0" w:space="0" w:color="auto"/>
          </w:divBdr>
        </w:div>
        <w:div w:id="2112117101">
          <w:marLeft w:val="360"/>
          <w:marRight w:val="0"/>
          <w:marTop w:val="0"/>
          <w:marBottom w:val="0"/>
          <w:divBdr>
            <w:top w:val="none" w:sz="0" w:space="0" w:color="auto"/>
            <w:left w:val="none" w:sz="0" w:space="0" w:color="auto"/>
            <w:bottom w:val="none" w:sz="0" w:space="0" w:color="auto"/>
            <w:right w:val="none" w:sz="0" w:space="0" w:color="auto"/>
          </w:divBdr>
        </w:div>
        <w:div w:id="2114015257">
          <w:marLeft w:val="360"/>
          <w:marRight w:val="0"/>
          <w:marTop w:val="0"/>
          <w:marBottom w:val="0"/>
          <w:divBdr>
            <w:top w:val="none" w:sz="0" w:space="0" w:color="auto"/>
            <w:left w:val="none" w:sz="0" w:space="0" w:color="auto"/>
            <w:bottom w:val="none" w:sz="0" w:space="0" w:color="auto"/>
            <w:right w:val="none" w:sz="0" w:space="0" w:color="auto"/>
          </w:divBdr>
        </w:div>
      </w:divsChild>
    </w:div>
    <w:div w:id="1164322008">
      <w:bodyDiv w:val="1"/>
      <w:marLeft w:val="0"/>
      <w:marRight w:val="0"/>
      <w:marTop w:val="0"/>
      <w:marBottom w:val="0"/>
      <w:divBdr>
        <w:top w:val="none" w:sz="0" w:space="0" w:color="auto"/>
        <w:left w:val="none" w:sz="0" w:space="0" w:color="auto"/>
        <w:bottom w:val="none" w:sz="0" w:space="0" w:color="auto"/>
        <w:right w:val="none" w:sz="0" w:space="0" w:color="auto"/>
      </w:divBdr>
      <w:divsChild>
        <w:div w:id="1561789482">
          <w:marLeft w:val="562"/>
          <w:marRight w:val="0"/>
          <w:marTop w:val="62"/>
          <w:marBottom w:val="0"/>
          <w:divBdr>
            <w:top w:val="none" w:sz="0" w:space="0" w:color="auto"/>
            <w:left w:val="none" w:sz="0" w:space="0" w:color="auto"/>
            <w:bottom w:val="none" w:sz="0" w:space="0" w:color="auto"/>
            <w:right w:val="none" w:sz="0" w:space="0" w:color="auto"/>
          </w:divBdr>
        </w:div>
      </w:divsChild>
    </w:div>
    <w:div w:id="1278298200">
      <w:bodyDiv w:val="1"/>
      <w:marLeft w:val="0"/>
      <w:marRight w:val="0"/>
      <w:marTop w:val="0"/>
      <w:marBottom w:val="0"/>
      <w:divBdr>
        <w:top w:val="none" w:sz="0" w:space="0" w:color="auto"/>
        <w:left w:val="none" w:sz="0" w:space="0" w:color="auto"/>
        <w:bottom w:val="none" w:sz="0" w:space="0" w:color="auto"/>
        <w:right w:val="none" w:sz="0" w:space="0" w:color="auto"/>
      </w:divBdr>
      <w:divsChild>
        <w:div w:id="178324799">
          <w:marLeft w:val="360"/>
          <w:marRight w:val="0"/>
          <w:marTop w:val="0"/>
          <w:marBottom w:val="0"/>
          <w:divBdr>
            <w:top w:val="none" w:sz="0" w:space="0" w:color="auto"/>
            <w:left w:val="none" w:sz="0" w:space="0" w:color="auto"/>
            <w:bottom w:val="none" w:sz="0" w:space="0" w:color="auto"/>
            <w:right w:val="none" w:sz="0" w:space="0" w:color="auto"/>
          </w:divBdr>
        </w:div>
        <w:div w:id="541596553">
          <w:marLeft w:val="360"/>
          <w:marRight w:val="0"/>
          <w:marTop w:val="0"/>
          <w:marBottom w:val="0"/>
          <w:divBdr>
            <w:top w:val="none" w:sz="0" w:space="0" w:color="auto"/>
            <w:left w:val="none" w:sz="0" w:space="0" w:color="auto"/>
            <w:bottom w:val="none" w:sz="0" w:space="0" w:color="auto"/>
            <w:right w:val="none" w:sz="0" w:space="0" w:color="auto"/>
          </w:divBdr>
        </w:div>
        <w:div w:id="770012049">
          <w:marLeft w:val="360"/>
          <w:marRight w:val="0"/>
          <w:marTop w:val="0"/>
          <w:marBottom w:val="0"/>
          <w:divBdr>
            <w:top w:val="none" w:sz="0" w:space="0" w:color="auto"/>
            <w:left w:val="none" w:sz="0" w:space="0" w:color="auto"/>
            <w:bottom w:val="none" w:sz="0" w:space="0" w:color="auto"/>
            <w:right w:val="none" w:sz="0" w:space="0" w:color="auto"/>
          </w:divBdr>
        </w:div>
        <w:div w:id="1213930058">
          <w:marLeft w:val="360"/>
          <w:marRight w:val="0"/>
          <w:marTop w:val="0"/>
          <w:marBottom w:val="0"/>
          <w:divBdr>
            <w:top w:val="none" w:sz="0" w:space="0" w:color="auto"/>
            <w:left w:val="none" w:sz="0" w:space="0" w:color="auto"/>
            <w:bottom w:val="none" w:sz="0" w:space="0" w:color="auto"/>
            <w:right w:val="none" w:sz="0" w:space="0" w:color="auto"/>
          </w:divBdr>
        </w:div>
      </w:divsChild>
    </w:div>
    <w:div w:id="1321232059">
      <w:bodyDiv w:val="1"/>
      <w:marLeft w:val="0"/>
      <w:marRight w:val="0"/>
      <w:marTop w:val="0"/>
      <w:marBottom w:val="0"/>
      <w:divBdr>
        <w:top w:val="none" w:sz="0" w:space="0" w:color="auto"/>
        <w:left w:val="none" w:sz="0" w:space="0" w:color="auto"/>
        <w:bottom w:val="none" w:sz="0" w:space="0" w:color="auto"/>
        <w:right w:val="none" w:sz="0" w:space="0" w:color="auto"/>
      </w:divBdr>
    </w:div>
    <w:div w:id="1458832673">
      <w:bodyDiv w:val="1"/>
      <w:marLeft w:val="0"/>
      <w:marRight w:val="0"/>
      <w:marTop w:val="0"/>
      <w:marBottom w:val="0"/>
      <w:divBdr>
        <w:top w:val="none" w:sz="0" w:space="0" w:color="auto"/>
        <w:left w:val="none" w:sz="0" w:space="0" w:color="auto"/>
        <w:bottom w:val="none" w:sz="0" w:space="0" w:color="auto"/>
        <w:right w:val="none" w:sz="0" w:space="0" w:color="auto"/>
      </w:divBdr>
    </w:div>
    <w:div w:id="1477185039">
      <w:bodyDiv w:val="1"/>
      <w:marLeft w:val="0"/>
      <w:marRight w:val="0"/>
      <w:marTop w:val="0"/>
      <w:marBottom w:val="0"/>
      <w:divBdr>
        <w:top w:val="none" w:sz="0" w:space="0" w:color="auto"/>
        <w:left w:val="none" w:sz="0" w:space="0" w:color="auto"/>
        <w:bottom w:val="none" w:sz="0" w:space="0" w:color="auto"/>
        <w:right w:val="none" w:sz="0" w:space="0" w:color="auto"/>
      </w:divBdr>
      <w:divsChild>
        <w:div w:id="161431902">
          <w:marLeft w:val="0"/>
          <w:marRight w:val="0"/>
          <w:marTop w:val="0"/>
          <w:marBottom w:val="0"/>
          <w:divBdr>
            <w:top w:val="none" w:sz="0" w:space="0" w:color="auto"/>
            <w:left w:val="none" w:sz="0" w:space="0" w:color="auto"/>
            <w:bottom w:val="none" w:sz="0" w:space="0" w:color="auto"/>
            <w:right w:val="none" w:sz="0" w:space="0" w:color="auto"/>
          </w:divBdr>
          <w:divsChild>
            <w:div w:id="611403327">
              <w:marLeft w:val="0"/>
              <w:marRight w:val="0"/>
              <w:marTop w:val="0"/>
              <w:marBottom w:val="0"/>
              <w:divBdr>
                <w:top w:val="none" w:sz="0" w:space="0" w:color="auto"/>
                <w:left w:val="none" w:sz="0" w:space="0" w:color="auto"/>
                <w:bottom w:val="none" w:sz="0" w:space="0" w:color="auto"/>
                <w:right w:val="none" w:sz="0" w:space="0" w:color="auto"/>
              </w:divBdr>
              <w:divsChild>
                <w:div w:id="208416815">
                  <w:marLeft w:val="0"/>
                  <w:marRight w:val="0"/>
                  <w:marTop w:val="0"/>
                  <w:marBottom w:val="0"/>
                  <w:divBdr>
                    <w:top w:val="none" w:sz="0" w:space="0" w:color="auto"/>
                    <w:left w:val="none" w:sz="0" w:space="0" w:color="auto"/>
                    <w:bottom w:val="none" w:sz="0" w:space="0" w:color="auto"/>
                    <w:right w:val="none" w:sz="0" w:space="0" w:color="auto"/>
                  </w:divBdr>
                  <w:divsChild>
                    <w:div w:id="1487432738">
                      <w:marLeft w:val="0"/>
                      <w:marRight w:val="0"/>
                      <w:marTop w:val="0"/>
                      <w:marBottom w:val="0"/>
                      <w:divBdr>
                        <w:top w:val="none" w:sz="0" w:space="0" w:color="auto"/>
                        <w:left w:val="none" w:sz="0" w:space="0" w:color="auto"/>
                        <w:bottom w:val="none" w:sz="0" w:space="0" w:color="auto"/>
                        <w:right w:val="none" w:sz="0" w:space="0" w:color="auto"/>
                      </w:divBdr>
                      <w:divsChild>
                        <w:div w:id="1519001838">
                          <w:marLeft w:val="0"/>
                          <w:marRight w:val="0"/>
                          <w:marTop w:val="0"/>
                          <w:marBottom w:val="0"/>
                          <w:divBdr>
                            <w:top w:val="none" w:sz="0" w:space="0" w:color="auto"/>
                            <w:left w:val="none" w:sz="0" w:space="0" w:color="auto"/>
                            <w:bottom w:val="none" w:sz="0" w:space="0" w:color="auto"/>
                            <w:right w:val="none" w:sz="0" w:space="0" w:color="auto"/>
                          </w:divBdr>
                          <w:divsChild>
                            <w:div w:id="1443650028">
                              <w:marLeft w:val="0"/>
                              <w:marRight w:val="0"/>
                              <w:marTop w:val="0"/>
                              <w:marBottom w:val="0"/>
                              <w:divBdr>
                                <w:top w:val="none" w:sz="0" w:space="0" w:color="auto"/>
                                <w:left w:val="none" w:sz="0" w:space="0" w:color="auto"/>
                                <w:bottom w:val="none" w:sz="0" w:space="0" w:color="auto"/>
                                <w:right w:val="none" w:sz="0" w:space="0" w:color="auto"/>
                              </w:divBdr>
                              <w:divsChild>
                                <w:div w:id="4511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9587489">
      <w:bodyDiv w:val="1"/>
      <w:marLeft w:val="0"/>
      <w:marRight w:val="0"/>
      <w:marTop w:val="0"/>
      <w:marBottom w:val="0"/>
      <w:divBdr>
        <w:top w:val="none" w:sz="0" w:space="0" w:color="auto"/>
        <w:left w:val="none" w:sz="0" w:space="0" w:color="auto"/>
        <w:bottom w:val="none" w:sz="0" w:space="0" w:color="auto"/>
        <w:right w:val="none" w:sz="0" w:space="0" w:color="auto"/>
      </w:divBdr>
      <w:divsChild>
        <w:div w:id="776215419">
          <w:marLeft w:val="1224"/>
          <w:marRight w:val="0"/>
          <w:marTop w:val="86"/>
          <w:marBottom w:val="0"/>
          <w:divBdr>
            <w:top w:val="none" w:sz="0" w:space="0" w:color="auto"/>
            <w:left w:val="none" w:sz="0" w:space="0" w:color="auto"/>
            <w:bottom w:val="none" w:sz="0" w:space="0" w:color="auto"/>
            <w:right w:val="none" w:sz="0" w:space="0" w:color="auto"/>
          </w:divBdr>
        </w:div>
        <w:div w:id="1364984174">
          <w:marLeft w:val="1224"/>
          <w:marRight w:val="0"/>
          <w:marTop w:val="86"/>
          <w:marBottom w:val="0"/>
          <w:divBdr>
            <w:top w:val="none" w:sz="0" w:space="0" w:color="auto"/>
            <w:left w:val="none" w:sz="0" w:space="0" w:color="auto"/>
            <w:bottom w:val="none" w:sz="0" w:space="0" w:color="auto"/>
            <w:right w:val="none" w:sz="0" w:space="0" w:color="auto"/>
          </w:divBdr>
        </w:div>
      </w:divsChild>
    </w:div>
    <w:div w:id="1494953859">
      <w:bodyDiv w:val="1"/>
      <w:marLeft w:val="0"/>
      <w:marRight w:val="0"/>
      <w:marTop w:val="0"/>
      <w:marBottom w:val="0"/>
      <w:divBdr>
        <w:top w:val="none" w:sz="0" w:space="0" w:color="auto"/>
        <w:left w:val="none" w:sz="0" w:space="0" w:color="auto"/>
        <w:bottom w:val="none" w:sz="0" w:space="0" w:color="auto"/>
        <w:right w:val="none" w:sz="0" w:space="0" w:color="auto"/>
      </w:divBdr>
    </w:div>
    <w:div w:id="1544755666">
      <w:bodyDiv w:val="1"/>
      <w:marLeft w:val="0"/>
      <w:marRight w:val="0"/>
      <w:marTop w:val="0"/>
      <w:marBottom w:val="0"/>
      <w:divBdr>
        <w:top w:val="none" w:sz="0" w:space="0" w:color="auto"/>
        <w:left w:val="none" w:sz="0" w:space="0" w:color="auto"/>
        <w:bottom w:val="none" w:sz="0" w:space="0" w:color="auto"/>
        <w:right w:val="none" w:sz="0" w:space="0" w:color="auto"/>
      </w:divBdr>
    </w:div>
    <w:div w:id="1659572850">
      <w:bodyDiv w:val="1"/>
      <w:marLeft w:val="0"/>
      <w:marRight w:val="0"/>
      <w:marTop w:val="0"/>
      <w:marBottom w:val="0"/>
      <w:divBdr>
        <w:top w:val="none" w:sz="0" w:space="0" w:color="auto"/>
        <w:left w:val="none" w:sz="0" w:space="0" w:color="auto"/>
        <w:bottom w:val="none" w:sz="0" w:space="0" w:color="auto"/>
        <w:right w:val="none" w:sz="0" w:space="0" w:color="auto"/>
      </w:divBdr>
    </w:div>
    <w:div w:id="1698431446">
      <w:bodyDiv w:val="1"/>
      <w:marLeft w:val="0"/>
      <w:marRight w:val="0"/>
      <w:marTop w:val="0"/>
      <w:marBottom w:val="0"/>
      <w:divBdr>
        <w:top w:val="none" w:sz="0" w:space="0" w:color="auto"/>
        <w:left w:val="none" w:sz="0" w:space="0" w:color="auto"/>
        <w:bottom w:val="none" w:sz="0" w:space="0" w:color="auto"/>
        <w:right w:val="none" w:sz="0" w:space="0" w:color="auto"/>
      </w:divBdr>
    </w:div>
    <w:div w:id="1720548837">
      <w:bodyDiv w:val="1"/>
      <w:marLeft w:val="0"/>
      <w:marRight w:val="0"/>
      <w:marTop w:val="0"/>
      <w:marBottom w:val="0"/>
      <w:divBdr>
        <w:top w:val="none" w:sz="0" w:space="0" w:color="auto"/>
        <w:left w:val="none" w:sz="0" w:space="0" w:color="auto"/>
        <w:bottom w:val="none" w:sz="0" w:space="0" w:color="auto"/>
        <w:right w:val="none" w:sz="0" w:space="0" w:color="auto"/>
      </w:divBdr>
    </w:div>
    <w:div w:id="1820463600">
      <w:bodyDiv w:val="1"/>
      <w:marLeft w:val="0"/>
      <w:marRight w:val="0"/>
      <w:marTop w:val="0"/>
      <w:marBottom w:val="0"/>
      <w:divBdr>
        <w:top w:val="none" w:sz="0" w:space="0" w:color="auto"/>
        <w:left w:val="none" w:sz="0" w:space="0" w:color="auto"/>
        <w:bottom w:val="none" w:sz="0" w:space="0" w:color="auto"/>
        <w:right w:val="none" w:sz="0" w:space="0" w:color="auto"/>
      </w:divBdr>
    </w:div>
    <w:div w:id="1938126662">
      <w:bodyDiv w:val="1"/>
      <w:marLeft w:val="0"/>
      <w:marRight w:val="0"/>
      <w:marTop w:val="0"/>
      <w:marBottom w:val="0"/>
      <w:divBdr>
        <w:top w:val="none" w:sz="0" w:space="0" w:color="auto"/>
        <w:left w:val="none" w:sz="0" w:space="0" w:color="auto"/>
        <w:bottom w:val="none" w:sz="0" w:space="0" w:color="auto"/>
        <w:right w:val="none" w:sz="0" w:space="0" w:color="auto"/>
      </w:divBdr>
    </w:div>
    <w:div w:id="2002997631">
      <w:bodyDiv w:val="1"/>
      <w:marLeft w:val="0"/>
      <w:marRight w:val="0"/>
      <w:marTop w:val="0"/>
      <w:marBottom w:val="0"/>
      <w:divBdr>
        <w:top w:val="none" w:sz="0" w:space="0" w:color="auto"/>
        <w:left w:val="none" w:sz="0" w:space="0" w:color="auto"/>
        <w:bottom w:val="none" w:sz="0" w:space="0" w:color="auto"/>
        <w:right w:val="none" w:sz="0" w:space="0" w:color="auto"/>
      </w:divBdr>
    </w:div>
    <w:div w:id="2034381446">
      <w:bodyDiv w:val="1"/>
      <w:marLeft w:val="0"/>
      <w:marRight w:val="0"/>
      <w:marTop w:val="0"/>
      <w:marBottom w:val="0"/>
      <w:divBdr>
        <w:top w:val="none" w:sz="0" w:space="0" w:color="auto"/>
        <w:left w:val="none" w:sz="0" w:space="0" w:color="auto"/>
        <w:bottom w:val="none" w:sz="0" w:space="0" w:color="auto"/>
        <w:right w:val="none" w:sz="0" w:space="0" w:color="auto"/>
      </w:divBdr>
    </w:div>
    <w:div w:id="2041658373">
      <w:bodyDiv w:val="1"/>
      <w:marLeft w:val="0"/>
      <w:marRight w:val="0"/>
      <w:marTop w:val="0"/>
      <w:marBottom w:val="0"/>
      <w:divBdr>
        <w:top w:val="none" w:sz="0" w:space="0" w:color="auto"/>
        <w:left w:val="none" w:sz="0" w:space="0" w:color="auto"/>
        <w:bottom w:val="none" w:sz="0" w:space="0" w:color="auto"/>
        <w:right w:val="none" w:sz="0" w:space="0" w:color="auto"/>
      </w:divBdr>
      <w:divsChild>
        <w:div w:id="14230978">
          <w:marLeft w:val="1166"/>
          <w:marRight w:val="0"/>
          <w:marTop w:val="85"/>
          <w:marBottom w:val="0"/>
          <w:divBdr>
            <w:top w:val="none" w:sz="0" w:space="0" w:color="auto"/>
            <w:left w:val="none" w:sz="0" w:space="0" w:color="auto"/>
            <w:bottom w:val="none" w:sz="0" w:space="0" w:color="auto"/>
            <w:right w:val="none" w:sz="0" w:space="0" w:color="auto"/>
          </w:divBdr>
        </w:div>
        <w:div w:id="3016270">
          <w:marLeft w:val="1166"/>
          <w:marRight w:val="0"/>
          <w:marTop w:val="85"/>
          <w:marBottom w:val="0"/>
          <w:divBdr>
            <w:top w:val="none" w:sz="0" w:space="0" w:color="auto"/>
            <w:left w:val="none" w:sz="0" w:space="0" w:color="auto"/>
            <w:bottom w:val="none" w:sz="0" w:space="0" w:color="auto"/>
            <w:right w:val="none" w:sz="0" w:space="0" w:color="auto"/>
          </w:divBdr>
        </w:div>
        <w:div w:id="226111785">
          <w:marLeft w:val="1166"/>
          <w:marRight w:val="0"/>
          <w:marTop w:val="85"/>
          <w:marBottom w:val="0"/>
          <w:divBdr>
            <w:top w:val="none" w:sz="0" w:space="0" w:color="auto"/>
            <w:left w:val="none" w:sz="0" w:space="0" w:color="auto"/>
            <w:bottom w:val="none" w:sz="0" w:space="0" w:color="auto"/>
            <w:right w:val="none" w:sz="0" w:space="0" w:color="auto"/>
          </w:divBdr>
        </w:div>
      </w:divsChild>
    </w:div>
    <w:div w:id="2051951299">
      <w:bodyDiv w:val="1"/>
      <w:marLeft w:val="0"/>
      <w:marRight w:val="0"/>
      <w:marTop w:val="0"/>
      <w:marBottom w:val="0"/>
      <w:divBdr>
        <w:top w:val="none" w:sz="0" w:space="0" w:color="auto"/>
        <w:left w:val="none" w:sz="0" w:space="0" w:color="auto"/>
        <w:bottom w:val="none" w:sz="0" w:space="0" w:color="auto"/>
        <w:right w:val="none" w:sz="0" w:space="0" w:color="auto"/>
      </w:divBdr>
    </w:div>
    <w:div w:id="2083749592">
      <w:bodyDiv w:val="1"/>
      <w:marLeft w:val="0"/>
      <w:marRight w:val="0"/>
      <w:marTop w:val="0"/>
      <w:marBottom w:val="0"/>
      <w:divBdr>
        <w:top w:val="none" w:sz="0" w:space="0" w:color="auto"/>
        <w:left w:val="none" w:sz="0" w:space="0" w:color="auto"/>
        <w:bottom w:val="none" w:sz="0" w:space="0" w:color="auto"/>
        <w:right w:val="none" w:sz="0" w:space="0" w:color="auto"/>
      </w:divBdr>
    </w:div>
    <w:div w:id="2089761776">
      <w:bodyDiv w:val="1"/>
      <w:marLeft w:val="0"/>
      <w:marRight w:val="0"/>
      <w:marTop w:val="0"/>
      <w:marBottom w:val="0"/>
      <w:divBdr>
        <w:top w:val="none" w:sz="0" w:space="0" w:color="auto"/>
        <w:left w:val="none" w:sz="0" w:space="0" w:color="auto"/>
        <w:bottom w:val="none" w:sz="0" w:space="0" w:color="auto"/>
        <w:right w:val="none" w:sz="0" w:space="0" w:color="auto"/>
      </w:divBdr>
      <w:divsChild>
        <w:div w:id="2002343967">
          <w:marLeft w:val="720"/>
          <w:marRight w:val="0"/>
          <w:marTop w:val="0"/>
          <w:marBottom w:val="0"/>
          <w:divBdr>
            <w:top w:val="none" w:sz="0" w:space="0" w:color="auto"/>
            <w:left w:val="none" w:sz="0" w:space="0" w:color="auto"/>
            <w:bottom w:val="none" w:sz="0" w:space="0" w:color="auto"/>
            <w:right w:val="none" w:sz="0" w:space="0" w:color="auto"/>
          </w:divBdr>
        </w:div>
        <w:div w:id="591551604">
          <w:marLeft w:val="720"/>
          <w:marRight w:val="0"/>
          <w:marTop w:val="0"/>
          <w:marBottom w:val="0"/>
          <w:divBdr>
            <w:top w:val="none" w:sz="0" w:space="0" w:color="auto"/>
            <w:left w:val="none" w:sz="0" w:space="0" w:color="auto"/>
            <w:bottom w:val="none" w:sz="0" w:space="0" w:color="auto"/>
            <w:right w:val="none" w:sz="0" w:space="0" w:color="auto"/>
          </w:divBdr>
        </w:div>
        <w:div w:id="618997576">
          <w:marLeft w:val="274"/>
          <w:marRight w:val="0"/>
          <w:marTop w:val="0"/>
          <w:marBottom w:val="0"/>
          <w:divBdr>
            <w:top w:val="none" w:sz="0" w:space="0" w:color="auto"/>
            <w:left w:val="none" w:sz="0" w:space="0" w:color="auto"/>
            <w:bottom w:val="none" w:sz="0" w:space="0" w:color="auto"/>
            <w:right w:val="none" w:sz="0" w:space="0" w:color="auto"/>
          </w:divBdr>
        </w:div>
        <w:div w:id="1783761244">
          <w:marLeft w:val="274"/>
          <w:marRight w:val="0"/>
          <w:marTop w:val="0"/>
          <w:marBottom w:val="0"/>
          <w:divBdr>
            <w:top w:val="none" w:sz="0" w:space="0" w:color="auto"/>
            <w:left w:val="none" w:sz="0" w:space="0" w:color="auto"/>
            <w:bottom w:val="none" w:sz="0" w:space="0" w:color="auto"/>
            <w:right w:val="none" w:sz="0" w:space="0" w:color="auto"/>
          </w:divBdr>
        </w:div>
      </w:divsChild>
    </w:div>
    <w:div w:id="21043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ocgenData xmlns="http://docgen.org/date">
  <Report_Date>2024-01-30T00:00:00</Report_Date>
</DocgenDat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cb665cb2-4c1b-4338-95f1-4dd7cd771ce0">
      <Terms xmlns="http://schemas.microsoft.com/office/infopath/2007/PartnerControls"/>
    </TaxKeywordTaxHTField>
    <TaxCatchAll xmlns="cb665cb2-4c1b-4338-95f1-4dd7cd771ce0">
      <Value>110</Value>
      <Value>12</Value>
      <Value>11</Value>
      <Value>9</Value>
      <Value>8</Value>
      <Value>90</Value>
      <Value>19</Value>
      <Value>102</Value>
    </TaxCatchAll>
    <Connect-Status xmlns="cb665cb2-4c1b-4338-95f1-4dd7cd771ce0">Concept</Connect-Status>
    <j4385b9e35ef42c5bc2f4b49e945d3d0 xmlns="cb665cb2-4c1b-4338-95f1-4dd7cd771ce0">
      <Terms xmlns="http://schemas.microsoft.com/office/infopath/2007/PartnerControls">
        <TermInfo xmlns="http://schemas.microsoft.com/office/infopath/2007/PartnerControls">
          <TermName xmlns="http://schemas.microsoft.com/office/infopath/2007/PartnerControls">Leeg</TermName>
          <TermId xmlns="http://schemas.microsoft.com/office/infopath/2007/PartnerControls">a317a223-2af7-413e-9184-f5120578edb7</TermId>
        </TermInfo>
      </Terms>
    </j4385b9e35ef42c5bc2f4b49e945d3d0>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Bepalen marktbenadering realisatie</TermName>
          <TermId xmlns="http://schemas.microsoft.com/office/infopath/2007/PartnerControls">c05e7dc0-19e5-4897-8dd2-5f897965e5e2</TermId>
        </TermInfo>
      </Terms>
    </e28f84c711554a75a94a2dfe3a3bea15>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Informatie/geen</TermName>
          <TermId xmlns="http://schemas.microsoft.com/office/infopath/2007/PartnerControls">c0708e09-5917-491d-939c-2d340666db11</TermId>
        </TermInfo>
      </Terms>
    </jbd8c863d0e84969b217bbeafdb75459>
    <Connect-AuteurExtern xmlns="cb665cb2-4c1b-4338-95f1-4dd7cd771ce0" xsi:nil="true"/>
    <Connect-TechnischManager xmlns="cb665cb2-4c1b-4338-95f1-4dd7cd771ce0">
      <UserInfo>
        <DisplayName/>
        <AccountId xsi:nil="true"/>
        <AccountType/>
      </UserInfo>
    </Connect-TechnischManager>
    <md4a5e6ab761404298864f0be17ffc0c xmlns="cb665cb2-4c1b-4338-95f1-4dd7cd771ce0">
      <Terms xmlns="http://schemas.microsoft.com/office/infopath/2007/PartnerControls">
        <TermInfo xmlns="http://schemas.microsoft.com/office/infopath/2007/PartnerControls">
          <TermName xmlns="http://schemas.microsoft.com/office/infopath/2007/PartnerControls">RWS Programma's, Projecten en Onderhoud</TermName>
          <TermId xmlns="http://schemas.microsoft.com/office/infopath/2007/PartnerControls">ecddfe69-e06c-4daa-922c-daf4247fccee</TermId>
        </TermInfo>
      </Terms>
    </md4a5e6ab761404298864f0be17ffc0c>
    <d38b446f7b294aa48a544e5738eab49c xmlns="cb665cb2-4c1b-4338-95f1-4dd7cd771ce0">
      <Terms xmlns="http://schemas.microsoft.com/office/infopath/2007/PartnerControls">
        <TermInfo xmlns="http://schemas.microsoft.com/office/infopath/2007/PartnerControls">
          <TermName xmlns="http://schemas.microsoft.com/office/infopath/2007/PartnerControls">Leeg</TermName>
          <TermId xmlns="http://schemas.microsoft.com/office/infopath/2007/PartnerControls">9b3efbe6-c9de-4535-bb42-8f0c93fb04fc</TermId>
        </TermInfo>
      </Term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Rapport</TermName>
          <TermId xmlns="http://schemas.microsoft.com/office/infopath/2007/PartnerControls">bfa7f66c-aa00-4490-8df5-b251e53a94db</TermId>
        </TermInfo>
      </Terms>
    </ka142704ec404179bc6dc96ce8d3373c>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_dlc_DocId xmlns="c0a8c7ee-43c1-4876-9e43-93f0cf9d580a">CON00-1723648970-321</_dlc_DocId>
    <_dlc_DocIdUrl xmlns="c0a8c7ee-43c1-4876-9e43-93f0cf9d580a">
      <Url>https://connect.sp02.rws.nl/sites/con0000610/_layouts/15/DocIdRedir.aspx?ID=CON00-1723648970-321</Url>
      <Description>CON00-1723648970-321</Description>
    </_dlc_DocIdUrl>
  </documentManagement>
</p:properties>
</file>

<file path=customXml/item4.xml><?xml version="1.0" encoding="utf-8"?>
<?mso-contentType ?>
<SharedContentType xmlns="Microsoft.SharePoint.Taxonomy.ContentTypeSync" SourceId="ae033921-439f-46ba-b586-0b8c8775f769" ContentTypeId="0x0101006D56A7865C58A149A83C55730CE7EA18" PreviousValue="false"/>
</file>

<file path=customXml/item5.xml><?xml version="1.0" encoding="utf-8"?>
<?mso-contentType ?>
<FormTemplates xmlns="http://schemas.microsoft.com/sharepoint/v3/contenttype/forms"/>
</file>

<file path=customXml/item6.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7E83612778FF03408D5A473E8F1A0549" ma:contentTypeVersion="16" ma:contentTypeDescription="Een nieuw document maken." ma:contentTypeScope="" ma:versionID="ef49890875213b4e5d75d06bfe1f9ef2">
  <xsd:schema xmlns:xsd="http://www.w3.org/2001/XMLSchema" xmlns:xs="http://www.w3.org/2001/XMLSchema" xmlns:p="http://schemas.microsoft.com/office/2006/metadata/properties" xmlns:ns1="http://schemas.microsoft.com/sharepoint/v3" xmlns:ns2="cb665cb2-4c1b-4338-95f1-4dd7cd771ce0" xmlns:ns3="c0a8c7ee-43c1-4876-9e43-93f0cf9d580a" targetNamespace="http://schemas.microsoft.com/office/2006/metadata/properties" ma:root="true" ma:fieldsID="800035293dfe3ce354a658581a22db60" ns1:_="" ns2:_="" ns3:_="">
    <xsd:import namespace="http://schemas.microsoft.com/sharepoint/v3"/>
    <xsd:import namespace="cb665cb2-4c1b-4338-95f1-4dd7cd771ce0"/>
    <xsd:import namespace="c0a8c7ee-43c1-4876-9e43-93f0cf9d580a"/>
    <xsd:element name="properties">
      <xsd:complexType>
        <xsd:sequence>
          <xsd:element name="documentManagement">
            <xsd:complexType>
              <xsd:all>
                <xsd:element ref="ns2:Connect-DossierId" minOccurs="0"/>
                <xsd:element ref="ns2:Connect-Subtitel" minOccurs="0"/>
                <xsd:element ref="ns2:Connect-Toelichting" minOccurs="0"/>
                <xsd:element ref="ns2:Connect-Status" minOccurs="0"/>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nillable="true" ma:displayName="Status" ma:default="Concept" ma:internalName="Connect_x002d_Status">
      <xsd:simpleType>
        <xsd:restriction base="dms:Choice">
          <xsd:enumeration value="Concept"/>
          <xsd:enumeration value="Definitief"/>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adc42252-78ac-40c2-ab69-d4f686d971ff}" ma:internalName="TaxCatchAll" ma:readOnly="false" ma:showField="CatchAllData" ma:web="c0a8c7ee-43c1-4876-9e43-93f0cf9d580a">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adc42252-78ac-40c2-ab69-d4f686d971ff}" ma:internalName="TaxCatchAllLabel" ma:readOnly="true" ma:showField="CatchAllDataLabel" ma:web="c0a8c7ee-43c1-4876-9e43-93f0cf9d580a">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nillable="true" ma:taxonomy="true" ma:internalName="jbd8c863d0e84969b217bbeafdb75459" ma:taxonomyFieldName="Connect_x002d_Vertrouwelijkheid" ma:displayName="Vertrouwelijkheid" ma:readOnly="false" ma:default="3;#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a8c7ee-43c1-4876-9e43-93f0cf9d580a"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BF6F9-3E9A-4EFB-A00A-60F9C6606FD1}">
  <ds:schemaRefs>
    <ds:schemaRef ds:uri="http://docgen.org/date"/>
  </ds:schemaRefs>
</ds:datastoreItem>
</file>

<file path=customXml/itemProps2.xml><?xml version="1.0" encoding="utf-8"?>
<ds:datastoreItem xmlns:ds="http://schemas.openxmlformats.org/officeDocument/2006/customXml" ds:itemID="{838C58C1-A31F-4D18-AA3F-667756F78774}">
  <ds:schemaRefs>
    <ds:schemaRef ds:uri="http://schemas.microsoft.com/sharepoint/events"/>
  </ds:schemaRefs>
</ds:datastoreItem>
</file>

<file path=customXml/itemProps3.xml><?xml version="1.0" encoding="utf-8"?>
<ds:datastoreItem xmlns:ds="http://schemas.openxmlformats.org/officeDocument/2006/customXml" ds:itemID="{4B972123-FE3E-4392-826A-9A83F461A40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cb665cb2-4c1b-4338-95f1-4dd7cd771ce0"/>
    <ds:schemaRef ds:uri="c0a8c7ee-43c1-4876-9e43-93f0cf9d580a"/>
    <ds:schemaRef ds:uri="http://www.w3.org/XML/1998/namespace"/>
    <ds:schemaRef ds:uri="http://purl.org/dc/dcmitype/"/>
  </ds:schemaRefs>
</ds:datastoreItem>
</file>

<file path=customXml/itemProps4.xml><?xml version="1.0" encoding="utf-8"?>
<ds:datastoreItem xmlns:ds="http://schemas.openxmlformats.org/officeDocument/2006/customXml" ds:itemID="{7060C609-537E-4D9F-8A6D-38D76959FCAD}">
  <ds:schemaRefs>
    <ds:schemaRef ds:uri="Microsoft.SharePoint.Taxonomy.ContentTypeSync"/>
  </ds:schemaRefs>
</ds:datastoreItem>
</file>

<file path=customXml/itemProps5.xml><?xml version="1.0" encoding="utf-8"?>
<ds:datastoreItem xmlns:ds="http://schemas.openxmlformats.org/officeDocument/2006/customXml" ds:itemID="{F1694D38-87B8-427C-BDD2-01DFB260C56F}">
  <ds:schemaRefs>
    <ds:schemaRef ds:uri="http://schemas.microsoft.com/sharepoint/v3/contenttype/forms"/>
  </ds:schemaRefs>
</ds:datastoreItem>
</file>

<file path=customXml/itemProps6.xml><?xml version="1.0" encoding="utf-8"?>
<ds:datastoreItem xmlns:ds="http://schemas.openxmlformats.org/officeDocument/2006/customXml" ds:itemID="{06C994CF-468A-402B-8148-3406E85FF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665cb2-4c1b-4338-95f1-4dd7cd771ce0"/>
    <ds:schemaRef ds:uri="c0a8c7ee-43c1-4876-9e43-93f0cf9d58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C0FF767-BCD5-4547-B96D-E5CB94F32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1315</Words>
  <Characters>7235</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Goossens (PPO)</dc:creator>
  <cp:keywords/>
  <cp:lastModifiedBy>Veldt, Hans (PPO)</cp:lastModifiedBy>
  <cp:revision>3</cp:revision>
  <cp:lastPrinted>2018-05-08T08:45:00Z</cp:lastPrinted>
  <dcterms:created xsi:type="dcterms:W3CDTF">2024-01-30T12:50:00Z</dcterms:created>
  <dcterms:modified xsi:type="dcterms:W3CDTF">2024-01-30T12:55:00Z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Bedrijfsinformatie</vt:lpwstr>
  </property>
  <property fmtid="{D5CDD505-2E9C-101B-9397-08002B2CF9AE}" pid="3" name="_DocHome">
    <vt:i4>987895528</vt:i4>
  </property>
  <property fmtid="{D5CDD505-2E9C-101B-9397-08002B2CF9AE}" pid="4" name="ContentTypeId">
    <vt:lpwstr>0x0101006D56A7865C58A149A83C55730CE7EA18007E83612778FF03408D5A473E8F1A0549</vt:lpwstr>
  </property>
  <property fmtid="{D5CDD505-2E9C-101B-9397-08002B2CF9AE}" pid="5" name="_dlc_DocIdItemGuid">
    <vt:lpwstr>fbdc66b1-9a66-477c-82cf-d760313ad694</vt:lpwstr>
  </property>
  <property fmtid="{D5CDD505-2E9C-101B-9397-08002B2CF9AE}" pid="6" name="TaxKeyword">
    <vt:lpwstr/>
  </property>
  <property fmtid="{D5CDD505-2E9C-101B-9397-08002B2CF9AE}" pid="7" name="Connect-Documenttype">
    <vt:lpwstr>102;#Rapport|bfa7f66c-aa00-4490-8df5-b251e53a94db</vt:lpwstr>
  </property>
  <property fmtid="{D5CDD505-2E9C-101B-9397-08002B2CF9AE}" pid="8" name="Connect-Proces">
    <vt:lpwstr>5;#Aanleg|74adf856-b63e-4236-a146-e36d782a6ba5</vt:lpwstr>
  </property>
  <property fmtid="{D5CDD505-2E9C-101B-9397-08002B2CF9AE}" pid="9" name="Connect-SEfase">
    <vt:lpwstr>8;#Leeg|a317a223-2af7-413e-9184-f5120578edb7</vt:lpwstr>
  </property>
  <property fmtid="{D5CDD505-2E9C-101B-9397-08002B2CF9AE}" pid="10" name="Connect-Projectnummer">
    <vt:lpwstr>484;#P.000121|7b019601-ae98-41fe-97d5-9c5cb9f63d8a</vt:lpwstr>
  </property>
  <property fmtid="{D5CDD505-2E9C-101B-9397-08002B2CF9AE}" pid="11" name="Connect-Organisatieonderdeel">
    <vt:lpwstr>110;#RWS Programma's, Projecten en Onderhoud|ecddfe69-e06c-4daa-922c-daf4247fccee</vt:lpwstr>
  </property>
  <property fmtid="{D5CDD505-2E9C-101B-9397-08002B2CF9AE}" pid="12" name="Connect-Deelproces">
    <vt:lpwstr>24;#Markt|4fbca745-fb4e-4853-97a2-9611fda11e95</vt:lpwstr>
  </property>
  <property fmtid="{D5CDD505-2E9C-101B-9397-08002B2CF9AE}" pid="13" name="Connect-Vertrouwelijkheid">
    <vt:lpwstr>19;#RWS Informatie/geen|c0708e09-5917-491d-939c-2d340666db11</vt:lpwstr>
  </property>
  <property fmtid="{D5CDD505-2E9C-101B-9397-08002B2CF9AE}" pid="14" name="Connect-IPMrol">
    <vt:lpwstr>9;#Leeg|9b3efbe6-c9de-4535-bb42-8f0c93fb04fc</vt:lpwstr>
  </property>
  <property fmtid="{D5CDD505-2E9C-101B-9397-08002B2CF9AE}" pid="15" name="Connect-Projectnaam">
    <vt:lpwstr>483;#A27 Houten-Hooipolder|ccd3998e-f5b3-4362-9402-97dfef28c3fc</vt:lpwstr>
  </property>
  <property fmtid="{D5CDD505-2E9C-101B-9397-08002B2CF9AE}" pid="16" name="Connect-Activiteit">
    <vt:lpwstr>90;#Bepalen marktbenadering realisatie|c05e7dc0-19e5-4897-8dd2-5f897965e5e2</vt:lpwstr>
  </property>
  <property fmtid="{D5CDD505-2E9C-101B-9397-08002B2CF9AE}" pid="17" name="Auteur">
    <vt:lpwstr>Tim Goossens</vt:lpwstr>
  </property>
  <property fmtid="{D5CDD505-2E9C-101B-9397-08002B2CF9AE}" pid="18" name="Connect-Afzender">
    <vt:lpwstr/>
  </property>
  <property fmtid="{D5CDD505-2E9C-101B-9397-08002B2CF9AE}" pid="19" name="Connect-Geadresseerde">
    <vt:lpwstr/>
  </property>
  <property fmtid="{D5CDD505-2E9C-101B-9397-08002B2CF9AE}" pid="20" name="Connect-Postcode">
    <vt:lpwstr/>
  </property>
  <property fmtid="{D5CDD505-2E9C-101B-9397-08002B2CF9AE}" pid="21" name="Connect-Adres">
    <vt:lpwstr/>
  </property>
  <property fmtid="{D5CDD505-2E9C-101B-9397-08002B2CF9AE}" pid="22" name="mf6f48d2ac1943c283ed42563d4d533a">
    <vt:lpwstr>Leeg|3c10af35-abbd-4a20-9fae-ae664f1cc9bc</vt:lpwstr>
  </property>
  <property fmtid="{D5CDD505-2E9C-101B-9397-08002B2CF9AE}" pid="23" name="Connect-Woonplaats">
    <vt:lpwstr/>
  </property>
  <property fmtid="{D5CDD505-2E9C-101B-9397-08002B2CF9AE}" pid="24" name="Connect-Kenmerk">
    <vt:lpwstr/>
  </property>
  <property fmtid="{D5CDD505-2E9C-101B-9397-08002B2CF9AE}" pid="25" name="Connect-Classificatiecode">
    <vt:lpwstr>12;#Leeg|3e64bc5a-cfd1-4b37-8b0e-02b7567d3256</vt:lpwstr>
  </property>
  <property fmtid="{D5CDD505-2E9C-101B-9397-08002B2CF9AE}" pid="26" name="Connect-Land">
    <vt:lpwstr/>
  </property>
  <property fmtid="{D5CDD505-2E9C-101B-9397-08002B2CF9AE}" pid="27" name="Connect-Richting">
    <vt:lpwstr/>
  </property>
  <property fmtid="{D5CDD505-2E9C-101B-9397-08002B2CF9AE}" pid="28" name="j7965235a8fd41fb89d2a664ecf0f7a1">
    <vt:lpwstr>Leeg|3e64bc5a-cfd1-4b37-8b0e-02b7567d3256</vt:lpwstr>
  </property>
  <property fmtid="{D5CDD505-2E9C-101B-9397-08002B2CF9AE}" pid="29" name="Connect-Organisatie">
    <vt:lpwstr>11;#Leeg|3c10af35-abbd-4a20-9fae-ae664f1cc9bc</vt:lpwstr>
  </property>
</Properties>
</file>