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744ACD" w:rsidRPr="00744ACD">
        <w:rPr>
          <w:rFonts w:ascii="Arial" w:hAnsi="Arial" w:cs="Arial"/>
          <w:sz w:val="20"/>
          <w:szCs w:val="20"/>
        </w:rPr>
        <w:t>Spoorcomplex Alexanderplein en 2 Vignole wissels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744ACD">
        <w:rPr>
          <w:rFonts w:ascii="Arial" w:hAnsi="Arial" w:cs="Arial"/>
          <w:b/>
          <w:bCs/>
          <w:sz w:val="20"/>
          <w:szCs w:val="20"/>
        </w:rPr>
        <w:t>2024-45</w:t>
      </w:r>
      <w:bookmarkStart w:id="0" w:name="_GoBack"/>
      <w:bookmarkEnd w:id="0"/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44ACD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C51B6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Livio</cp:lastModifiedBy>
  <cp:revision>2</cp:revision>
  <dcterms:created xsi:type="dcterms:W3CDTF">2024-10-23T18:40:00Z</dcterms:created>
  <dcterms:modified xsi:type="dcterms:W3CDTF">2024-10-23T18:40:00Z</dcterms:modified>
</cp:coreProperties>
</file>