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9AC98" w14:textId="7C0BD9FF" w:rsidR="00CA336E" w:rsidRDefault="00255220" w:rsidP="00255220">
      <w:pPr>
        <w:pStyle w:val="Kop2"/>
        <w:numPr>
          <w:ilvl w:val="1"/>
          <w:numId w:val="0"/>
        </w:numPr>
        <w:spacing w:before="120" w:after="60"/>
      </w:pPr>
      <w:r>
        <w:t xml:space="preserve"> Bijlage behorende bij </w:t>
      </w:r>
      <w:proofErr w:type="spellStart"/>
      <w:r>
        <w:t>NvI</w:t>
      </w:r>
      <w:proofErr w:type="spellEnd"/>
      <w:r>
        <w:t xml:space="preserve"> Selectiefase </w:t>
      </w:r>
      <w:proofErr w:type="spellStart"/>
      <w:r>
        <w:t>stadsbad</w:t>
      </w:r>
      <w:proofErr w:type="spellEnd"/>
      <w:r>
        <w:t>.</w:t>
      </w:r>
    </w:p>
    <w:p w14:paraId="23259F3B" w14:textId="77777777" w:rsidR="00255220" w:rsidRDefault="00255220" w:rsidP="00255220"/>
    <w:p w14:paraId="2620A1A9" w14:textId="60DA7E92" w:rsidR="00255220" w:rsidRPr="00255220" w:rsidRDefault="00255220" w:rsidP="00255220">
      <w:pPr>
        <w:rPr>
          <w:b/>
          <w:bCs/>
          <w:sz w:val="24"/>
          <w:szCs w:val="28"/>
        </w:rPr>
      </w:pPr>
      <w:r w:rsidRPr="00255220">
        <w:rPr>
          <w:b/>
          <w:bCs/>
          <w:sz w:val="24"/>
          <w:szCs w:val="28"/>
        </w:rPr>
        <w:t xml:space="preserve">Onderwerp: verheldering </w:t>
      </w:r>
      <w:proofErr w:type="spellStart"/>
      <w:r w:rsidRPr="00255220">
        <w:rPr>
          <w:b/>
          <w:bCs/>
          <w:sz w:val="24"/>
          <w:szCs w:val="28"/>
        </w:rPr>
        <w:t>teopassing</w:t>
      </w:r>
      <w:proofErr w:type="spellEnd"/>
      <w:r w:rsidRPr="00255220">
        <w:rPr>
          <w:b/>
          <w:bCs/>
          <w:sz w:val="24"/>
          <w:szCs w:val="28"/>
        </w:rPr>
        <w:t xml:space="preserve"> algemene voorwaarden en DNR</w:t>
      </w:r>
    </w:p>
    <w:p w14:paraId="7F4DB79E" w14:textId="77777777" w:rsidR="00255220" w:rsidRDefault="00255220" w:rsidP="00255220"/>
    <w:p w14:paraId="44252636" w14:textId="77777777" w:rsidR="00255220" w:rsidRPr="00255220" w:rsidRDefault="00255220" w:rsidP="00255220"/>
    <w:p w14:paraId="291F4871" w14:textId="77777777" w:rsidR="00CA336E" w:rsidRDefault="00CA336E" w:rsidP="00CA336E">
      <w:r>
        <w:t>Op de af te sluiten overeenkomst zijn de ‘Algemene inkoopvoorwaarden’ van de Gemeente Heerlen van toepassing. Andere voorwaarden worden uitdrukkelijk van de hand gewezen.</w:t>
      </w:r>
    </w:p>
    <w:p w14:paraId="302AEF64" w14:textId="77777777" w:rsidR="00CA336E" w:rsidRDefault="00CA336E" w:rsidP="00CA336E"/>
    <w:p w14:paraId="7A2EAF15" w14:textId="77777777" w:rsidR="00CA336E" w:rsidRDefault="00CA336E" w:rsidP="00CA336E">
      <w:r>
        <w:t>In afwijking hiervan dan wel aanvullend hierop zijn de volgende voorwaarden van toepassing:</w:t>
      </w:r>
    </w:p>
    <w:p w14:paraId="6BFFBE13" w14:textId="77777777" w:rsidR="00CA336E" w:rsidRDefault="00CA336E" w:rsidP="00CA336E"/>
    <w:p w14:paraId="4D2BCC13" w14:textId="77777777" w:rsidR="00CA336E" w:rsidRDefault="00CA336E" w:rsidP="00CA336E">
      <w:pPr>
        <w:ind w:left="708"/>
        <w:rPr>
          <w:b/>
          <w:bCs/>
          <w:szCs w:val="20"/>
        </w:rPr>
      </w:pPr>
      <w:r w:rsidRPr="00CA336E">
        <w:rPr>
          <w:b/>
          <w:bCs/>
          <w:szCs w:val="20"/>
          <w:highlight w:val="yellow"/>
        </w:rPr>
        <w:t>Eigendom van documenten.</w:t>
      </w:r>
      <w:r>
        <w:rPr>
          <w:b/>
          <w:bCs/>
          <w:szCs w:val="20"/>
        </w:rPr>
        <w:t xml:space="preserve"> </w:t>
      </w:r>
    </w:p>
    <w:p w14:paraId="2440C168" w14:textId="77777777" w:rsidR="00CA336E" w:rsidRDefault="00CA336E" w:rsidP="00CA336E">
      <w:pPr>
        <w:ind w:left="708"/>
        <w:rPr>
          <w:szCs w:val="20"/>
        </w:rPr>
      </w:pPr>
      <w:r>
        <w:rPr>
          <w:rFonts w:cs="Gill Sans Std"/>
          <w:color w:val="000000"/>
          <w:szCs w:val="20"/>
        </w:rPr>
        <w:t>De door de opdrachtnemer aan de opdrachtgever afgegeven documenten worden eigendom van de opdrachtgever en mogen door hem kosteloos en onbeperkt voor dit project worden gebruikt met inachtneming van de rechten die voortvloeien uit de wetgeving op het gebied van de intellectuele eigendom, nadat de opdrachtgever aan zijn financiële verplichtingen jegens de opdrachtnemer heeft voldaan.</w:t>
      </w:r>
    </w:p>
    <w:p w14:paraId="634877B7" w14:textId="77777777" w:rsidR="00CA336E" w:rsidRDefault="00CA336E" w:rsidP="00CA336E">
      <w:pPr>
        <w:ind w:left="708"/>
      </w:pPr>
    </w:p>
    <w:p w14:paraId="6E258583" w14:textId="1F392B91" w:rsidR="00CA336E" w:rsidRDefault="00CA336E" w:rsidP="00CA336E">
      <w:pPr>
        <w:ind w:left="708"/>
      </w:pPr>
      <w:r>
        <w:t>De door de opdrachtgever aan de opdrachtnemer verstrekte documenten blijven eigendom van de opdrachtgever en dienen op verzoek van de opdracht</w:t>
      </w:r>
      <w:r w:rsidR="00CA2966">
        <w:t>gev</w:t>
      </w:r>
      <w:r>
        <w:t xml:space="preserve">er te worden geretourneerd. Het is de opdrachtnemer buiten het kader van de opdracht niet toegestaan van deze documenten – in hun geheel of van onderdelen – gebruik te maken zonder uitdrukkelijke toestemming van de projectbevoegde. De projectbevoegde is bevoegd om aan het geven van die toestemming voorwaarden te verbinden. </w:t>
      </w:r>
    </w:p>
    <w:p w14:paraId="307FF138" w14:textId="77777777" w:rsidR="00CA336E" w:rsidRDefault="00CA336E" w:rsidP="00CA336E">
      <w:pPr>
        <w:ind w:left="708"/>
      </w:pPr>
    </w:p>
    <w:p w14:paraId="3755CA49" w14:textId="77777777" w:rsidR="00CA336E" w:rsidRDefault="00CA336E" w:rsidP="00CA336E">
      <w:pPr>
        <w:ind w:left="708"/>
        <w:rPr>
          <w:b/>
          <w:bCs/>
        </w:rPr>
      </w:pPr>
      <w:r w:rsidRPr="00CA336E">
        <w:rPr>
          <w:b/>
          <w:bCs/>
          <w:highlight w:val="yellow"/>
        </w:rPr>
        <w:t>Intellectuele en industriële eigendomsrechten.</w:t>
      </w:r>
    </w:p>
    <w:p w14:paraId="713E1D4C" w14:textId="77777777" w:rsidR="00CA336E" w:rsidRDefault="00CA336E" w:rsidP="00CA336E">
      <w:pPr>
        <w:ind w:left="709"/>
      </w:pPr>
      <w:r>
        <w:rPr>
          <w:bCs/>
        </w:rPr>
        <w:t xml:space="preserve">In afwijking van artikel 15 lid 1 tot en met 5 van de Algemene inkoopvoorwaarden worden intellectuele en industriële eigendomsrechten niet overgedragen aan opdrachtgever. </w:t>
      </w:r>
      <w:r>
        <w:t xml:space="preserve">De opdrachtnemer verleent, met het aanvaarden van de opdracht, aan de opdrachtgever licentie en alle overige medewerking tot alle openbaarmakings- en verveelvoudigingshandelingen in de meest ruime zin van tekeningen, schetsen, foto’s en alle andere afbeeldingen van zijn ontwerp, van maquettes en modellen alsmede van alle andere voorwerpen of informatiedragers die van zijn ontwerp een afbeelding of voorstelling vormen, of die zijn bedoeld in de Auteurswet of in het </w:t>
      </w:r>
      <w:proofErr w:type="spellStart"/>
      <w:r>
        <w:t>Beneluxverdrag</w:t>
      </w:r>
      <w:proofErr w:type="spellEnd"/>
      <w:r>
        <w:t xml:space="preserve"> inzake de intellectuele eigendom inzake merken, tekeningen of modellen. De vergoeding voor deze licentie is begrepen in het honorarium. </w:t>
      </w:r>
    </w:p>
    <w:p w14:paraId="76F6D116" w14:textId="77777777" w:rsidR="00CA336E" w:rsidRDefault="00CA336E" w:rsidP="00CA336E">
      <w:pPr>
        <w:ind w:left="709"/>
      </w:pPr>
    </w:p>
    <w:p w14:paraId="75C02928" w14:textId="77777777" w:rsidR="00CA336E" w:rsidRDefault="00CA336E" w:rsidP="00CA336E">
      <w:pPr>
        <w:ind w:left="709"/>
      </w:pPr>
      <w:r>
        <w:t>Opdrachtnemer behoudt de volgende rechten als bedoeld in artikel 25 lid 1 onder a, b en d van de Auteurswet:</w:t>
      </w:r>
    </w:p>
    <w:p w14:paraId="67F7E096" w14:textId="77777777" w:rsidR="00CA336E" w:rsidRDefault="00CA336E" w:rsidP="00CA336E"/>
    <w:p w14:paraId="2B6FBA7A" w14:textId="77777777" w:rsidR="00CA336E" w:rsidRDefault="00CA336E" w:rsidP="00CA336E">
      <w:pPr>
        <w:pStyle w:val="Lijstalinea"/>
        <w:numPr>
          <w:ilvl w:val="1"/>
          <w:numId w:val="11"/>
        </w:numPr>
      </w:pPr>
      <w:r>
        <w:lastRenderedPageBreak/>
        <w:t>het recht zich te verzetten tegen openbaarmaking van het werk zonder vermelding van zijn naam of andere aanduiding als maker, tenzij het verzet in strijd zou zijn met de redelijkheid;</w:t>
      </w:r>
    </w:p>
    <w:p w14:paraId="7851A7F1" w14:textId="77777777" w:rsidR="00CA336E" w:rsidRDefault="00CA336E" w:rsidP="00CA336E">
      <w:pPr>
        <w:ind w:left="709"/>
      </w:pPr>
    </w:p>
    <w:p w14:paraId="6FA4CFA5" w14:textId="77777777" w:rsidR="00CA336E" w:rsidRDefault="00CA336E" w:rsidP="00CA336E">
      <w:pPr>
        <w:pStyle w:val="Lijstalinea"/>
        <w:numPr>
          <w:ilvl w:val="1"/>
          <w:numId w:val="11"/>
        </w:numPr>
      </w:pPr>
      <w:r>
        <w:t>het recht zich te verzetten tegen de openbaarmaking van het werk onder een andere naam dan de zijne, alsmede tegen het aanbrengen van enige wijziging in de benaming van het werk of in de aanduiding van de maker, voor zover deze op of in het werk voorkomen, dan wel in verband daarmede zijn openbaar gemaakt;</w:t>
      </w:r>
    </w:p>
    <w:p w14:paraId="20BED9F7" w14:textId="77777777" w:rsidR="00CA336E" w:rsidRDefault="00CA336E" w:rsidP="00CA336E"/>
    <w:p w14:paraId="54BC974B" w14:textId="77777777" w:rsidR="00CA336E" w:rsidRDefault="00CA336E" w:rsidP="00CA336E">
      <w:pPr>
        <w:pStyle w:val="Lijstalinea"/>
        <w:numPr>
          <w:ilvl w:val="1"/>
          <w:numId w:val="11"/>
        </w:numPr>
      </w:pPr>
      <w:r>
        <w:t>het recht zich te verzetten tegen elke misvorming, verminking of andere aantasting van het werk, welke nadeel zou kunnen toebrengen aan de eer of de goede naam van de maker of aan zijn waarde in deze hoedanigheid.</w:t>
      </w:r>
    </w:p>
    <w:p w14:paraId="62050BC9" w14:textId="77777777" w:rsidR="00CA336E" w:rsidRDefault="00CA336E" w:rsidP="00CA336E">
      <w:pPr>
        <w:ind w:left="709"/>
      </w:pPr>
    </w:p>
    <w:p w14:paraId="76A1FB4D" w14:textId="77777777" w:rsidR="00CA336E" w:rsidRDefault="00CA336E" w:rsidP="00CA336E">
      <w:pPr>
        <w:ind w:left="709"/>
      </w:pPr>
      <w:r>
        <w:t>Opdrachtnemer doet afstand van het recht zich te verzetten tegen een wijziging in het werk als bedoeld in artikel 25 lid 1 onder c van de Auteurswet.</w:t>
      </w:r>
    </w:p>
    <w:p w14:paraId="3F32BEA5" w14:textId="77777777" w:rsidR="00CA336E" w:rsidRDefault="00CA336E" w:rsidP="00CA336E">
      <w:pPr>
        <w:ind w:left="709"/>
      </w:pPr>
    </w:p>
    <w:p w14:paraId="18C89B95" w14:textId="77777777" w:rsidR="00CA336E" w:rsidRDefault="00CA336E" w:rsidP="00CA336E">
      <w:pPr>
        <w:ind w:left="709"/>
      </w:pPr>
      <w:r>
        <w:t xml:space="preserve">De opdrachtnemer heeft enkel het recht het werk te herhalen na schriftelijke toestemming van de opdrachtgever. </w:t>
      </w:r>
    </w:p>
    <w:p w14:paraId="63055C39" w14:textId="77777777" w:rsidR="00CA336E" w:rsidRDefault="00CA336E" w:rsidP="00CA336E">
      <w:pPr>
        <w:ind w:left="708"/>
      </w:pPr>
    </w:p>
    <w:p w14:paraId="5FAFE048" w14:textId="77777777" w:rsidR="00CA336E" w:rsidRDefault="00CA336E" w:rsidP="00CA336E">
      <w:pPr>
        <w:ind w:left="709"/>
      </w:pPr>
      <w:r>
        <w:t>De opdrachtgever behoudt zich het recht voor de uitvoering van het object afwijkend van de adviezen van de opdrachtnemer of in het geheel niet te (laten) uitvoeren. Afwijkingen worden voor zoveel mogelijk in goed overleg met de opdrachtnemer voorbereid.</w:t>
      </w:r>
    </w:p>
    <w:p w14:paraId="793C015F" w14:textId="77777777" w:rsidR="00CA336E" w:rsidRDefault="00CA336E" w:rsidP="00CA336E">
      <w:pPr>
        <w:ind w:left="708"/>
      </w:pPr>
    </w:p>
    <w:p w14:paraId="0E0D83D7" w14:textId="77777777" w:rsidR="00CA336E" w:rsidRDefault="00CA336E" w:rsidP="00CA336E">
      <w:pPr>
        <w:ind w:left="709"/>
        <w:rPr>
          <w:b/>
        </w:rPr>
      </w:pPr>
      <w:r w:rsidRPr="00CA336E">
        <w:rPr>
          <w:b/>
          <w:highlight w:val="yellow"/>
        </w:rPr>
        <w:t>Aansprakelijkheid.</w:t>
      </w:r>
    </w:p>
    <w:p w14:paraId="378778FE" w14:textId="77777777" w:rsidR="00CA336E" w:rsidRDefault="00CA336E" w:rsidP="00CA336E">
      <w:pPr>
        <w:ind w:left="708"/>
      </w:pPr>
      <w:r w:rsidRPr="00C633BA">
        <w:t>In afwijking van artikel 9 lid 1 tot en met 4 van de Algemene inkoopvoorwaarden gelden artikelen 13 tot en met 16 van de DNR 2011, met dien verstande dat de omvang van de te vergoeden schade beperkt is tot een bedrag gelijk aan drie maal de advieskosten met een maximum van € 2.500.000 (artikel 15) en dat een vervaltermijn geldt van een periode van tien jaar vanaf de dag waarop de opdracht door voltooiing of opzegging is geëindigd (artikel 16)</w:t>
      </w:r>
      <w:r>
        <w:t xml:space="preserve">. </w:t>
      </w:r>
    </w:p>
    <w:p w14:paraId="5B6CA797" w14:textId="77777777" w:rsidR="002429B5" w:rsidRPr="00EF7EA5" w:rsidRDefault="002429B5" w:rsidP="001B1A9D"/>
    <w:sectPr w:rsidR="002429B5" w:rsidRPr="00EF7EA5" w:rsidSect="00AC242F">
      <w:pgSz w:w="11907" w:h="16840" w:code="9"/>
      <w:pgMar w:top="2552" w:right="851" w:bottom="1701" w:left="1758" w:header="709" w:footer="284" w:gutter="0"/>
      <w:cols w:space="708"/>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Gill Sans Std">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58E4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38C2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EA60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900C1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6A31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B270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4E62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1E29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BE82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A2A0E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C87605"/>
    <w:multiLevelType w:val="hybridMultilevel"/>
    <w:tmpl w:val="C238989A"/>
    <w:lvl w:ilvl="0" w:tplc="B6FC79B0">
      <w:start w:val="1"/>
      <w:numFmt w:val="bullet"/>
      <w:lvlText w:val=""/>
      <w:lvlJc w:val="left"/>
      <w:pPr>
        <w:ind w:left="720" w:hanging="360"/>
      </w:pPr>
      <w:rPr>
        <w:rFonts w:ascii="Symbol" w:hAnsi="Symbol" w:hint="default"/>
        <w:color w:val="244061" w:themeColor="accent1" w:themeShade="80"/>
      </w:rPr>
    </w:lvl>
    <w:lvl w:ilvl="1" w:tplc="C4A0D1CC">
      <w:numFmt w:val="bullet"/>
      <w:lvlText w:val="-"/>
      <w:lvlJc w:val="left"/>
      <w:pPr>
        <w:ind w:left="1440" w:hanging="360"/>
      </w:pPr>
      <w:rPr>
        <w:rFonts w:ascii="Calibri" w:eastAsiaTheme="minorHAnsi" w:hAnsi="Calibri" w:cs="Calibri" w:hint="default"/>
        <w:sz w:val="22"/>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35674956">
    <w:abstractNumId w:val="9"/>
  </w:num>
  <w:num w:numId="2" w16cid:durableId="1371802944">
    <w:abstractNumId w:val="7"/>
  </w:num>
  <w:num w:numId="3" w16cid:durableId="193227748">
    <w:abstractNumId w:val="6"/>
  </w:num>
  <w:num w:numId="4" w16cid:durableId="905259647">
    <w:abstractNumId w:val="5"/>
  </w:num>
  <w:num w:numId="5" w16cid:durableId="2100133117">
    <w:abstractNumId w:val="4"/>
  </w:num>
  <w:num w:numId="6" w16cid:durableId="379717422">
    <w:abstractNumId w:val="8"/>
  </w:num>
  <w:num w:numId="7" w16cid:durableId="631637606">
    <w:abstractNumId w:val="3"/>
  </w:num>
  <w:num w:numId="8" w16cid:durableId="1927419075">
    <w:abstractNumId w:val="2"/>
  </w:num>
  <w:num w:numId="9" w16cid:durableId="339280854">
    <w:abstractNumId w:val="1"/>
  </w:num>
  <w:num w:numId="10" w16cid:durableId="1001810699">
    <w:abstractNumId w:val="0"/>
  </w:num>
  <w:num w:numId="11" w16cid:durableId="18198338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hyphenationZone w:val="1134"/>
  <w:doNotHyphenateCaps/>
  <w:drawingGridHorizontalSpacing w:val="90"/>
  <w:drawingGridVerticalSpacing w:val="245"/>
  <w:displayHorizontalDrawingGridEvery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A336E"/>
    <w:rsid w:val="00034A82"/>
    <w:rsid w:val="000628BF"/>
    <w:rsid w:val="00137BCA"/>
    <w:rsid w:val="0018228A"/>
    <w:rsid w:val="001B1A9D"/>
    <w:rsid w:val="002429B5"/>
    <w:rsid w:val="00255220"/>
    <w:rsid w:val="00422E45"/>
    <w:rsid w:val="00AC242F"/>
    <w:rsid w:val="00CA2966"/>
    <w:rsid w:val="00CA336E"/>
    <w:rsid w:val="00EF7EA5"/>
    <w:rsid w:val="00F8155B"/>
    <w:rsid w:val="00F82CB4"/>
    <w:rsid w:val="00FF0F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9885A3"/>
  <w15:chartTrackingRefBased/>
  <w15:docId w15:val="{61DD1ABF-BBD8-440B-A82E-1E7A606BB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nl-NL" w:eastAsia="nl-NL"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A336E"/>
    <w:pPr>
      <w:spacing w:line="276" w:lineRule="auto"/>
    </w:pPr>
    <w:rPr>
      <w:rFonts w:ascii="Verdana" w:eastAsiaTheme="minorHAnsi" w:hAnsi="Verdana" w:cstheme="minorBidi"/>
      <w:kern w:val="0"/>
      <w:szCs w:val="22"/>
      <w:lang w:eastAsia="en-US"/>
      <w14:ligatures w14:val="none"/>
    </w:rPr>
  </w:style>
  <w:style w:type="paragraph" w:styleId="Kop1">
    <w:name w:val="heading 1"/>
    <w:basedOn w:val="Standaard"/>
    <w:next w:val="Standaard"/>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unhideWhenUsed/>
    <w:qFormat/>
    <w:rsid w:val="00AC242F"/>
    <w:pPr>
      <w:keepNext/>
      <w:keepLines/>
      <w:spacing w:before="200"/>
      <w:outlineLvl w:val="1"/>
    </w:pPr>
    <w:rPr>
      <w:rFonts w:eastAsiaTheme="majorEastAsia" w:cstheme="majorBidi"/>
      <w:b/>
      <w:bCs/>
      <w:sz w:val="26"/>
      <w:szCs w:val="26"/>
    </w:rPr>
  </w:style>
  <w:style w:type="paragraph" w:styleId="Kop3">
    <w:name w:val="heading 3"/>
    <w:basedOn w:val="Standaard"/>
    <w:next w:val="Standaard"/>
    <w:uiPriority w:val="9"/>
    <w:qFormat/>
    <w:rsid w:val="00AC242F"/>
    <w:pPr>
      <w:keepNext/>
      <w:spacing w:before="240" w:after="60"/>
      <w:outlineLvl w:val="2"/>
    </w:pPr>
    <w:rPr>
      <w:rFonts w:cs="Arial"/>
      <w:b/>
      <w:bCs/>
      <w:szCs w:val="26"/>
    </w:rPr>
  </w:style>
  <w:style w:type="paragraph" w:styleId="Kop4">
    <w:name w:val="heading 4"/>
    <w:basedOn w:val="Standaard"/>
    <w:next w:val="Standaard"/>
    <w:link w:val="Kop4Char"/>
    <w:uiPriority w:val="9"/>
    <w:unhideWhenUsed/>
    <w:qFormat/>
    <w:rsid w:val="00EF7EA5"/>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unhideWhenUsed/>
    <w:qFormat/>
    <w:rsid w:val="00CA336E"/>
    <w:pPr>
      <w:keepNext/>
      <w:keepLines/>
      <w:spacing w:before="40"/>
      <w:ind w:left="1008" w:hanging="1008"/>
      <w:outlineLvl w:val="4"/>
    </w:pPr>
    <w:rPr>
      <w:rFonts w:ascii="Corbel" w:eastAsiaTheme="majorEastAsia" w:hAnsi="Corbel" w:cstheme="majorBidi"/>
      <w:i/>
      <w:caps/>
      <w:color w:val="4E302B"/>
    </w:rPr>
  </w:style>
  <w:style w:type="paragraph" w:styleId="Kop6">
    <w:name w:val="heading 6"/>
    <w:basedOn w:val="Standaard"/>
    <w:next w:val="Standaard"/>
    <w:link w:val="Kop6Char"/>
    <w:uiPriority w:val="9"/>
    <w:semiHidden/>
    <w:unhideWhenUsed/>
    <w:qFormat/>
    <w:rsid w:val="00CA336E"/>
    <w:pPr>
      <w:keepNext/>
      <w:keepLines/>
      <w:spacing w:before="40"/>
      <w:ind w:left="1152" w:hanging="1152"/>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uiPriority w:val="9"/>
    <w:semiHidden/>
    <w:unhideWhenUsed/>
    <w:qFormat/>
    <w:rsid w:val="00CA336E"/>
    <w:pPr>
      <w:keepNext/>
      <w:keepLines/>
      <w:spacing w:before="40"/>
      <w:ind w:left="1296" w:hanging="1296"/>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CA336E"/>
    <w:pPr>
      <w:keepNext/>
      <w:keepLines/>
      <w:spacing w:before="40"/>
      <w:ind w:left="1440" w:hanging="14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CA336E"/>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EF7EA5"/>
    <w:rPr>
      <w:rFonts w:asciiTheme="majorHAnsi" w:eastAsiaTheme="majorEastAsia" w:hAnsiTheme="majorHAnsi" w:cstheme="majorBidi"/>
      <w:b/>
      <w:bCs/>
      <w:i/>
      <w:iCs/>
      <w:color w:val="4F81BD" w:themeColor="accent1"/>
      <w:sz w:val="18"/>
    </w:rPr>
  </w:style>
  <w:style w:type="paragraph" w:customStyle="1" w:styleId="paragraafnietininhoudsopgave">
    <w:name w:val="paragraaf niet in inhoudsopgave"/>
    <w:basedOn w:val="Kop1"/>
    <w:pPr>
      <w:spacing w:before="0" w:after="0"/>
    </w:pPr>
    <w:rPr>
      <w:rFonts w:cs="Times New Roman"/>
      <w:b w:val="0"/>
      <w:bCs w:val="0"/>
      <w:i/>
      <w:iCs/>
      <w:kern w:val="0"/>
      <w:sz w:val="20"/>
      <w:szCs w:val="20"/>
    </w:rPr>
  </w:style>
  <w:style w:type="character" w:customStyle="1" w:styleId="Kop2Char">
    <w:name w:val="Kop 2 Char"/>
    <w:basedOn w:val="Standaardalinea-lettertype"/>
    <w:link w:val="Kop2"/>
    <w:uiPriority w:val="9"/>
    <w:rsid w:val="00AC242F"/>
    <w:rPr>
      <w:rFonts w:ascii="Verdana" w:eastAsiaTheme="majorEastAsia" w:hAnsi="Verdana" w:cstheme="majorBidi"/>
      <w:b/>
      <w:bCs/>
      <w:sz w:val="26"/>
      <w:szCs w:val="26"/>
    </w:rPr>
  </w:style>
  <w:style w:type="character" w:styleId="Intensieveverwijzing">
    <w:name w:val="Intense Reference"/>
    <w:basedOn w:val="Standaardalinea-lettertype"/>
    <w:uiPriority w:val="32"/>
    <w:rsid w:val="00EF7EA5"/>
    <w:rPr>
      <w:b/>
      <w:bCs/>
      <w:smallCaps/>
      <w:color w:val="C0504D" w:themeColor="accent2"/>
      <w:spacing w:val="5"/>
      <w:u w:val="single"/>
    </w:rPr>
  </w:style>
  <w:style w:type="character" w:customStyle="1" w:styleId="Kop5Char">
    <w:name w:val="Kop 5 Char"/>
    <w:basedOn w:val="Standaardalinea-lettertype"/>
    <w:link w:val="Kop5"/>
    <w:uiPriority w:val="9"/>
    <w:rsid w:val="00CA336E"/>
    <w:rPr>
      <w:rFonts w:ascii="Corbel" w:eastAsiaTheme="majorEastAsia" w:hAnsi="Corbel" w:cstheme="majorBidi"/>
      <w:i/>
      <w:caps/>
      <w:color w:val="4E302B"/>
      <w:kern w:val="0"/>
      <w:szCs w:val="22"/>
      <w:lang w:eastAsia="en-US"/>
      <w14:ligatures w14:val="none"/>
    </w:rPr>
  </w:style>
  <w:style w:type="character" w:customStyle="1" w:styleId="Kop6Char">
    <w:name w:val="Kop 6 Char"/>
    <w:basedOn w:val="Standaardalinea-lettertype"/>
    <w:link w:val="Kop6"/>
    <w:uiPriority w:val="9"/>
    <w:semiHidden/>
    <w:rsid w:val="00CA336E"/>
    <w:rPr>
      <w:rFonts w:asciiTheme="majorHAnsi" w:eastAsiaTheme="majorEastAsia" w:hAnsiTheme="majorHAnsi" w:cstheme="majorBidi"/>
      <w:color w:val="243F60" w:themeColor="accent1" w:themeShade="7F"/>
      <w:kern w:val="0"/>
      <w:szCs w:val="22"/>
      <w:lang w:eastAsia="en-US"/>
      <w14:ligatures w14:val="none"/>
    </w:rPr>
  </w:style>
  <w:style w:type="character" w:customStyle="1" w:styleId="Kop7Char">
    <w:name w:val="Kop 7 Char"/>
    <w:basedOn w:val="Standaardalinea-lettertype"/>
    <w:link w:val="Kop7"/>
    <w:uiPriority w:val="9"/>
    <w:semiHidden/>
    <w:rsid w:val="00CA336E"/>
    <w:rPr>
      <w:rFonts w:asciiTheme="majorHAnsi" w:eastAsiaTheme="majorEastAsia" w:hAnsiTheme="majorHAnsi" w:cstheme="majorBidi"/>
      <w:i/>
      <w:iCs/>
      <w:color w:val="243F60" w:themeColor="accent1" w:themeShade="7F"/>
      <w:kern w:val="0"/>
      <w:szCs w:val="22"/>
      <w:lang w:eastAsia="en-US"/>
      <w14:ligatures w14:val="none"/>
    </w:rPr>
  </w:style>
  <w:style w:type="character" w:customStyle="1" w:styleId="Kop8Char">
    <w:name w:val="Kop 8 Char"/>
    <w:basedOn w:val="Standaardalinea-lettertype"/>
    <w:link w:val="Kop8"/>
    <w:uiPriority w:val="9"/>
    <w:semiHidden/>
    <w:rsid w:val="00CA336E"/>
    <w:rPr>
      <w:rFonts w:asciiTheme="majorHAnsi" w:eastAsiaTheme="majorEastAsia" w:hAnsiTheme="majorHAnsi" w:cstheme="majorBidi"/>
      <w:color w:val="272727" w:themeColor="text1" w:themeTint="D8"/>
      <w:kern w:val="0"/>
      <w:sz w:val="21"/>
      <w:szCs w:val="21"/>
      <w:lang w:eastAsia="en-US"/>
      <w14:ligatures w14:val="none"/>
    </w:rPr>
  </w:style>
  <w:style w:type="character" w:customStyle="1" w:styleId="Kop9Char">
    <w:name w:val="Kop 9 Char"/>
    <w:basedOn w:val="Standaardalinea-lettertype"/>
    <w:link w:val="Kop9"/>
    <w:uiPriority w:val="9"/>
    <w:semiHidden/>
    <w:rsid w:val="00CA336E"/>
    <w:rPr>
      <w:rFonts w:asciiTheme="majorHAnsi" w:eastAsiaTheme="majorEastAsia" w:hAnsiTheme="majorHAnsi" w:cstheme="majorBidi"/>
      <w:i/>
      <w:iCs/>
      <w:color w:val="272727" w:themeColor="text1" w:themeTint="D8"/>
      <w:kern w:val="0"/>
      <w:sz w:val="21"/>
      <w:szCs w:val="21"/>
      <w:lang w:eastAsia="en-US"/>
      <w14:ligatures w14:val="none"/>
    </w:rPr>
  </w:style>
  <w:style w:type="paragraph" w:styleId="Lijstalinea">
    <w:name w:val="List Paragraph"/>
    <w:basedOn w:val="Standaard"/>
    <w:link w:val="LijstalineaChar"/>
    <w:uiPriority w:val="34"/>
    <w:qFormat/>
    <w:rsid w:val="00CA336E"/>
    <w:pPr>
      <w:ind w:left="720"/>
      <w:contextualSpacing/>
    </w:pPr>
  </w:style>
  <w:style w:type="character" w:customStyle="1" w:styleId="LijstalineaChar">
    <w:name w:val="Lijstalinea Char"/>
    <w:basedOn w:val="Standaardalinea-lettertype"/>
    <w:link w:val="Lijstalinea"/>
    <w:uiPriority w:val="34"/>
    <w:rsid w:val="00CA336E"/>
    <w:rPr>
      <w:rFonts w:ascii="Verdana" w:eastAsiaTheme="minorHAnsi" w:hAnsi="Verdana" w:cstheme="minorBidi"/>
      <w:kern w:val="0"/>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3311</Characters>
  <Application>Microsoft Office Word</Application>
  <DocSecurity>0</DocSecurity>
  <Lines>27</Lines>
  <Paragraphs>7</Paragraphs>
  <ScaleCrop>false</ScaleCrop>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Geelen, Fred</dc:creator>
  <cp:keywords/>
  <dc:description/>
  <cp:lastModifiedBy>Geelen, Fred</cp:lastModifiedBy>
  <cp:revision>2</cp:revision>
  <cp:lastPrinted>2010-09-13T06:24:00Z</cp:lastPrinted>
  <dcterms:created xsi:type="dcterms:W3CDTF">2024-10-31T09:57:00Z</dcterms:created>
  <dcterms:modified xsi:type="dcterms:W3CDTF">2024-10-31T09:57:00Z</dcterms:modified>
</cp:coreProperties>
</file>