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C17F64">
        <w:rPr>
          <w:rFonts w:ascii="Arial Rounded MT Bold" w:hAnsi="Arial Rounded MT Bold"/>
          <w:sz w:val="24"/>
          <w:szCs w:val="24"/>
        </w:rPr>
        <w:t>6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</w:t>
      </w:r>
      <w:r w:rsidR="00C17F6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+ 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C17F64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SAP Consultancy: </w:t>
    </w:r>
    <w:r w:rsidRPr="00C17F64">
      <w:rPr>
        <w:rFonts w:ascii="Arial" w:hAnsi="Arial" w:cs="Arial"/>
        <w:sz w:val="16"/>
        <w:szCs w:val="16"/>
      </w:rPr>
      <w:t>Verklaring garantstelling moedermaatschappij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17F64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E42B3C9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5</cp:revision>
  <cp:lastPrinted>2016-09-29T15:06:00Z</cp:lastPrinted>
  <dcterms:created xsi:type="dcterms:W3CDTF">2020-12-21T12:01:00Z</dcterms:created>
  <dcterms:modified xsi:type="dcterms:W3CDTF">2023-05-15T07:54:00Z</dcterms:modified>
</cp:coreProperties>
</file>