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D326A" w14:textId="77777777" w:rsidR="003E6889" w:rsidRDefault="003E6889" w:rsidP="003E6889">
      <w:pPr>
        <w:pStyle w:val="Kop1"/>
        <w:rPr>
          <w:color w:val="auto"/>
          <w:szCs w:val="22"/>
        </w:rPr>
      </w:pPr>
      <w:bookmarkStart w:id="0" w:name="_Toc232475621"/>
      <w:r w:rsidRPr="003008A8">
        <w:rPr>
          <w:color w:val="auto"/>
          <w:szCs w:val="22"/>
        </w:rPr>
        <w:t>BIJLAGE 4 – VERKLARING AKKOORD MET PROGRAMMA VAN EISEN</w:t>
      </w:r>
    </w:p>
    <w:p w14:paraId="79D3DDBA" w14:textId="77777777" w:rsidR="004963A8" w:rsidRPr="004963A8" w:rsidRDefault="004963A8" w:rsidP="004963A8"/>
    <w:p w14:paraId="4FEE24E0" w14:textId="3C70D896" w:rsidR="00A56595" w:rsidRPr="00A56595" w:rsidRDefault="00A56595" w:rsidP="00A56595">
      <w:pPr>
        <w:rPr>
          <w:rFonts w:asciiTheme="majorHAnsi" w:hAnsiTheme="majorHAnsi"/>
          <w:i/>
          <w:iCs/>
        </w:rPr>
      </w:pPr>
      <w:r w:rsidRPr="004563A1">
        <w:rPr>
          <w:rFonts w:asciiTheme="majorHAnsi" w:hAnsiTheme="majorHAnsi"/>
          <w:i/>
          <w:iCs/>
        </w:rPr>
        <w:t xml:space="preserve">Behorende bij de </w:t>
      </w:r>
      <w:r w:rsidR="004F3232" w:rsidRPr="004563A1">
        <w:rPr>
          <w:rFonts w:asciiTheme="majorHAnsi" w:hAnsiTheme="majorHAnsi"/>
          <w:i/>
          <w:iCs/>
        </w:rPr>
        <w:t xml:space="preserve">Raamovereenkomst </w:t>
      </w:r>
      <w:r w:rsidR="00746208" w:rsidRPr="004563A1">
        <w:rPr>
          <w:rFonts w:asciiTheme="majorHAnsi" w:hAnsiTheme="majorHAnsi"/>
          <w:i/>
          <w:iCs/>
        </w:rPr>
        <w:t xml:space="preserve">Europese </w:t>
      </w:r>
      <w:r w:rsidRPr="004563A1">
        <w:rPr>
          <w:rFonts w:asciiTheme="majorHAnsi" w:hAnsiTheme="majorHAnsi"/>
          <w:i/>
          <w:iCs/>
        </w:rPr>
        <w:t>Aanbesteding OLP.</w:t>
      </w:r>
      <w:r w:rsidR="004563A1" w:rsidRPr="004563A1">
        <w:rPr>
          <w:rFonts w:asciiTheme="majorHAnsi" w:hAnsiTheme="majorHAnsi"/>
          <w:i/>
          <w:iCs/>
        </w:rPr>
        <w:t>OIGJS.2024.</w:t>
      </w:r>
      <w:proofErr w:type="gramStart"/>
      <w:r w:rsidR="004563A1" w:rsidRPr="004563A1">
        <w:rPr>
          <w:rFonts w:asciiTheme="majorHAnsi" w:hAnsiTheme="majorHAnsi"/>
          <w:i/>
          <w:iCs/>
        </w:rPr>
        <w:t>11.SCALA</w:t>
      </w:r>
      <w:proofErr w:type="gramEnd"/>
    </w:p>
    <w:p w14:paraId="7E098C66" w14:textId="77777777" w:rsidR="003E6889" w:rsidRPr="003008A8" w:rsidRDefault="003E6889" w:rsidP="003E6889">
      <w:pPr>
        <w:rPr>
          <w:rFonts w:asciiTheme="majorHAnsi" w:hAnsiTheme="majorHAnsi"/>
        </w:rPr>
      </w:pPr>
    </w:p>
    <w:p w14:paraId="4F5C1BE4"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Inschrijver verklaart, door middel van ondertekening van deze bijlage, akkoord te zijn en invulling te geven aan hetgeen beschreven in hoofdstuk 6, </w:t>
      </w:r>
      <w:r w:rsidR="004963A8">
        <w:rPr>
          <w:rFonts w:asciiTheme="majorHAnsi" w:hAnsiTheme="majorHAnsi" w:cs="ScalaSans-Regular"/>
          <w:color w:val="000000"/>
        </w:rPr>
        <w:t>programma</w:t>
      </w:r>
      <w:r w:rsidRPr="003008A8">
        <w:rPr>
          <w:rFonts w:asciiTheme="majorHAnsi" w:hAnsiTheme="majorHAnsi" w:cs="ScalaSans-Regular"/>
          <w:color w:val="000000"/>
        </w:rPr>
        <w:t xml:space="preserve"> van eisen, van het gepubliceerde aanbestedingsdocument. Deze bijlage vormt een integraal onderdeel van de raamovereenkomst. </w:t>
      </w:r>
    </w:p>
    <w:p w14:paraId="55E44C5D" w14:textId="77777777" w:rsidR="003D3E35" w:rsidRPr="00006F43" w:rsidRDefault="003D3E35" w:rsidP="003D3E35">
      <w:pPr>
        <w:pStyle w:val="Kop1"/>
      </w:pPr>
      <w:bookmarkStart w:id="1" w:name="_Toc167782751"/>
      <w:bookmarkEnd w:id="0"/>
      <w:r w:rsidRPr="001B6FD4">
        <w:t>6.1 Assortiment</w:t>
      </w:r>
      <w:bookmarkEnd w:id="1"/>
      <w:r w:rsidRPr="001B6FD4">
        <w:t xml:space="preserve"> </w:t>
      </w:r>
    </w:p>
    <w:p w14:paraId="325270A4" w14:textId="77777777" w:rsidR="003D3E35" w:rsidRPr="00006F43" w:rsidRDefault="003D3E35" w:rsidP="003D3E35">
      <w:pPr>
        <w:rPr>
          <w:rFonts w:asciiTheme="majorHAnsi" w:hAnsiTheme="majorHAnsi"/>
        </w:rPr>
      </w:pPr>
      <w:r w:rsidRPr="00006F43">
        <w:rPr>
          <w:rFonts w:asciiTheme="majorHAnsi" w:hAnsiTheme="majorHAnsi"/>
        </w:rPr>
        <w:t xml:space="preserve">Onder </w:t>
      </w:r>
      <w:r w:rsidRPr="00006F43">
        <w:rPr>
          <w:rFonts w:asciiTheme="majorHAnsi" w:hAnsiTheme="majorHAnsi"/>
          <w:i/>
        </w:rPr>
        <w:t>methoden en methode gebonden materialen</w:t>
      </w:r>
      <w:r w:rsidRPr="00006F43">
        <w:rPr>
          <w:rFonts w:asciiTheme="majorHAnsi" w:hAnsiTheme="majorHAnsi"/>
        </w:rPr>
        <w:t xml:space="preserve"> wordt verstaan:</w:t>
      </w:r>
      <w:r w:rsidRPr="00006F43">
        <w:rPr>
          <w:rFonts w:asciiTheme="majorHAnsi" w:hAnsiTheme="majorHAnsi"/>
        </w:rPr>
        <w:br/>
        <w:t>Een verzameling van folio leermiddelen voor meerdere leerjaren, welke bestaat uit leerkrachtmateriaal (minimaal een handleiding) en leerling</w:t>
      </w:r>
      <w:r>
        <w:rPr>
          <w:rFonts w:asciiTheme="majorHAnsi" w:hAnsiTheme="majorHAnsi"/>
        </w:rPr>
        <w:t>en</w:t>
      </w:r>
      <w:r w:rsidRPr="00006F43">
        <w:rPr>
          <w:rFonts w:asciiTheme="majorHAnsi" w:hAnsiTheme="majorHAnsi"/>
        </w:rPr>
        <w:t>materiaal (tenminste le</w:t>
      </w:r>
      <w:r>
        <w:rPr>
          <w:rFonts w:asciiTheme="majorHAnsi" w:hAnsiTheme="majorHAnsi"/>
        </w:rPr>
        <w:t>sboeken,</w:t>
      </w:r>
      <w:r w:rsidRPr="00006F43">
        <w:rPr>
          <w:rFonts w:asciiTheme="majorHAnsi" w:hAnsiTheme="majorHAnsi"/>
        </w:rPr>
        <w:t xml:space="preserve"> werk</w:t>
      </w:r>
      <w:r>
        <w:rPr>
          <w:rFonts w:asciiTheme="majorHAnsi" w:hAnsiTheme="majorHAnsi"/>
        </w:rPr>
        <w:t xml:space="preserve">boeken en </w:t>
      </w:r>
      <w:proofErr w:type="spellStart"/>
      <w:r w:rsidRPr="00006F43">
        <w:rPr>
          <w:rFonts w:asciiTheme="majorHAnsi" w:hAnsiTheme="majorHAnsi"/>
        </w:rPr>
        <w:t>toetsboeken</w:t>
      </w:r>
      <w:proofErr w:type="spellEnd"/>
      <w:r w:rsidRPr="00006F43">
        <w:rPr>
          <w:rFonts w:asciiTheme="majorHAnsi" w:hAnsiTheme="majorHAnsi"/>
        </w:rPr>
        <w:t xml:space="preserve">). </w:t>
      </w:r>
    </w:p>
    <w:p w14:paraId="1FB809CA" w14:textId="77777777" w:rsidR="003D3E35" w:rsidRPr="00006F43" w:rsidRDefault="003D3E35" w:rsidP="003D3E35">
      <w:pPr>
        <w:rPr>
          <w:rFonts w:asciiTheme="majorHAnsi" w:hAnsiTheme="majorHAnsi"/>
        </w:rPr>
      </w:pPr>
    </w:p>
    <w:p w14:paraId="725C456C" w14:textId="77777777" w:rsidR="003D3E35" w:rsidRPr="00006F43" w:rsidRDefault="003D3E35" w:rsidP="003D3E35">
      <w:pPr>
        <w:rPr>
          <w:rFonts w:asciiTheme="majorHAnsi" w:hAnsiTheme="majorHAnsi"/>
        </w:rPr>
      </w:pPr>
      <w:r w:rsidRPr="00006F43">
        <w:rPr>
          <w:rFonts w:asciiTheme="majorHAnsi" w:hAnsiTheme="majorHAnsi"/>
        </w:rPr>
        <w:t>Alle verschillende leermethoden kunnen worden besteld.</w:t>
      </w:r>
    </w:p>
    <w:p w14:paraId="58E04588" w14:textId="77777777" w:rsidR="003D3E35" w:rsidRPr="00006F43" w:rsidRDefault="003D3E35" w:rsidP="003D3E35">
      <w:pPr>
        <w:rPr>
          <w:rFonts w:asciiTheme="majorHAnsi" w:hAnsiTheme="majorHAnsi"/>
        </w:rPr>
      </w:pPr>
    </w:p>
    <w:p w14:paraId="2ED851A4" w14:textId="77777777" w:rsidR="003D3E35" w:rsidRPr="00006F43" w:rsidRDefault="003D3E35" w:rsidP="003D3E35">
      <w:pPr>
        <w:rPr>
          <w:rFonts w:asciiTheme="majorHAnsi" w:hAnsiTheme="majorHAnsi"/>
        </w:rPr>
      </w:pPr>
      <w:r>
        <w:rPr>
          <w:rFonts w:asciiTheme="majorHAnsi" w:hAnsiTheme="majorHAnsi"/>
        </w:rPr>
        <w:t>Zowel de</w:t>
      </w:r>
      <w:r w:rsidRPr="00006F43">
        <w:rPr>
          <w:rFonts w:asciiTheme="majorHAnsi" w:hAnsiTheme="majorHAnsi"/>
        </w:rPr>
        <w:t xml:space="preserve"> </w:t>
      </w:r>
      <w:r w:rsidRPr="00006F43">
        <w:rPr>
          <w:rFonts w:asciiTheme="majorHAnsi" w:hAnsiTheme="majorHAnsi"/>
          <w:i/>
        </w:rPr>
        <w:t>methoden en methode gebonden materialen</w:t>
      </w:r>
      <w:r w:rsidRPr="00006F43">
        <w:rPr>
          <w:rFonts w:asciiTheme="majorHAnsi" w:hAnsiTheme="majorHAnsi"/>
        </w:rPr>
        <w:t xml:space="preserve"> </w:t>
      </w:r>
      <w:r>
        <w:rPr>
          <w:rFonts w:asciiTheme="majorHAnsi" w:hAnsiTheme="majorHAnsi"/>
        </w:rPr>
        <w:t xml:space="preserve">alsmede de </w:t>
      </w:r>
      <w:r w:rsidRPr="00F63C21">
        <w:rPr>
          <w:rFonts w:asciiTheme="majorHAnsi" w:hAnsiTheme="majorHAnsi"/>
          <w:i/>
          <w:iCs/>
        </w:rPr>
        <w:t>leerpakketten</w:t>
      </w:r>
      <w:r>
        <w:rPr>
          <w:rFonts w:asciiTheme="majorHAnsi" w:hAnsiTheme="majorHAnsi"/>
        </w:rPr>
        <w:t xml:space="preserve"> </w:t>
      </w:r>
      <w:r w:rsidRPr="00006F43">
        <w:rPr>
          <w:rFonts w:asciiTheme="majorHAnsi" w:hAnsiTheme="majorHAnsi"/>
        </w:rPr>
        <w:t>dienen minimaal gebruikt te kunnen worden voor de volgende vak- en vormingsgebieden:</w:t>
      </w:r>
    </w:p>
    <w:p w14:paraId="3BC0D53F" w14:textId="77777777" w:rsidR="003D3E35" w:rsidRPr="00006F43" w:rsidRDefault="003D3E35" w:rsidP="003D3E35">
      <w:pPr>
        <w:rPr>
          <w:rFonts w:asciiTheme="majorHAnsi" w:hAnsiTheme="majorHAnsi"/>
        </w:rPr>
      </w:pPr>
    </w:p>
    <w:p w14:paraId="6FC1B577" w14:textId="77777777" w:rsidR="003D3E35" w:rsidRPr="00006F43" w:rsidRDefault="003D3E35" w:rsidP="003D3E35">
      <w:pPr>
        <w:pStyle w:val="Lijstalinea"/>
        <w:numPr>
          <w:ilvl w:val="0"/>
          <w:numId w:val="7"/>
        </w:numPr>
        <w:rPr>
          <w:rFonts w:asciiTheme="majorHAnsi" w:hAnsiTheme="majorHAnsi"/>
        </w:rPr>
      </w:pPr>
      <w:r w:rsidRPr="00006F43">
        <w:rPr>
          <w:rFonts w:asciiTheme="majorHAnsi" w:hAnsiTheme="majorHAnsi"/>
        </w:rPr>
        <w:t xml:space="preserve">Aardrijkskunde </w:t>
      </w:r>
    </w:p>
    <w:p w14:paraId="755B7F6D" w14:textId="77777777" w:rsidR="003D3E35" w:rsidRPr="00006F43" w:rsidRDefault="003D3E35" w:rsidP="003D3E35">
      <w:pPr>
        <w:pStyle w:val="Lijstalinea"/>
        <w:numPr>
          <w:ilvl w:val="0"/>
          <w:numId w:val="7"/>
        </w:numPr>
        <w:rPr>
          <w:rFonts w:asciiTheme="majorHAnsi" w:hAnsiTheme="majorHAnsi"/>
        </w:rPr>
      </w:pPr>
      <w:r w:rsidRPr="00006F43">
        <w:rPr>
          <w:rFonts w:asciiTheme="majorHAnsi" w:hAnsiTheme="majorHAnsi"/>
        </w:rPr>
        <w:t>Bewegingsonderwijs</w:t>
      </w:r>
    </w:p>
    <w:p w14:paraId="523479B3" w14:textId="77777777" w:rsidR="003D3E35" w:rsidRPr="00006F43" w:rsidRDefault="003D3E35" w:rsidP="003D3E35">
      <w:pPr>
        <w:pStyle w:val="Lijstalinea"/>
        <w:numPr>
          <w:ilvl w:val="0"/>
          <w:numId w:val="7"/>
        </w:numPr>
        <w:rPr>
          <w:rFonts w:asciiTheme="majorHAnsi" w:hAnsiTheme="majorHAnsi"/>
        </w:rPr>
      </w:pPr>
      <w:r w:rsidRPr="00006F43">
        <w:rPr>
          <w:rFonts w:asciiTheme="majorHAnsi" w:hAnsiTheme="majorHAnsi"/>
        </w:rPr>
        <w:t>Drama</w:t>
      </w:r>
    </w:p>
    <w:p w14:paraId="422DA0AB" w14:textId="77777777" w:rsidR="003D3E35" w:rsidRPr="00006F43" w:rsidRDefault="003D3E35" w:rsidP="003D3E35">
      <w:pPr>
        <w:pStyle w:val="Lijstalinea"/>
        <w:numPr>
          <w:ilvl w:val="0"/>
          <w:numId w:val="7"/>
        </w:numPr>
        <w:rPr>
          <w:rFonts w:asciiTheme="majorHAnsi" w:hAnsiTheme="majorHAnsi"/>
        </w:rPr>
      </w:pPr>
      <w:r w:rsidRPr="00006F43">
        <w:rPr>
          <w:rFonts w:asciiTheme="majorHAnsi" w:hAnsiTheme="majorHAnsi"/>
        </w:rPr>
        <w:t>Expressievakken</w:t>
      </w:r>
    </w:p>
    <w:p w14:paraId="6B799563" w14:textId="77777777" w:rsidR="003D3E35" w:rsidRPr="00006F43" w:rsidRDefault="003D3E35" w:rsidP="003D3E35">
      <w:pPr>
        <w:pStyle w:val="Lijstalinea"/>
        <w:numPr>
          <w:ilvl w:val="0"/>
          <w:numId w:val="7"/>
        </w:numPr>
        <w:rPr>
          <w:rFonts w:asciiTheme="majorHAnsi" w:hAnsiTheme="majorHAnsi"/>
        </w:rPr>
      </w:pPr>
      <w:r w:rsidRPr="00006F43">
        <w:rPr>
          <w:rFonts w:asciiTheme="majorHAnsi" w:hAnsiTheme="majorHAnsi"/>
        </w:rPr>
        <w:t>Geschiedenis</w:t>
      </w:r>
    </w:p>
    <w:p w14:paraId="3264EBEE" w14:textId="77777777" w:rsidR="003D3E35" w:rsidRPr="00006F43" w:rsidRDefault="003D3E35" w:rsidP="003D3E35">
      <w:pPr>
        <w:pStyle w:val="Lijstalinea"/>
        <w:numPr>
          <w:ilvl w:val="0"/>
          <w:numId w:val="7"/>
        </w:numPr>
        <w:rPr>
          <w:rFonts w:asciiTheme="majorHAnsi" w:hAnsiTheme="majorHAnsi"/>
        </w:rPr>
      </w:pPr>
      <w:r w:rsidRPr="00006F43">
        <w:rPr>
          <w:rFonts w:asciiTheme="majorHAnsi" w:hAnsiTheme="majorHAnsi"/>
        </w:rPr>
        <w:t>Mens en samenleving</w:t>
      </w:r>
    </w:p>
    <w:p w14:paraId="64BBD1C4" w14:textId="77777777" w:rsidR="003D3E35" w:rsidRPr="00006F43" w:rsidRDefault="003D3E35" w:rsidP="003D3E35">
      <w:pPr>
        <w:pStyle w:val="Lijstalinea"/>
        <w:numPr>
          <w:ilvl w:val="0"/>
          <w:numId w:val="7"/>
        </w:numPr>
        <w:rPr>
          <w:rFonts w:asciiTheme="majorHAnsi" w:hAnsiTheme="majorHAnsi"/>
        </w:rPr>
      </w:pPr>
      <w:r w:rsidRPr="00006F43">
        <w:rPr>
          <w:rFonts w:asciiTheme="majorHAnsi" w:hAnsiTheme="majorHAnsi"/>
        </w:rPr>
        <w:t>Natuur en techniek</w:t>
      </w:r>
    </w:p>
    <w:p w14:paraId="146B30E9" w14:textId="77777777" w:rsidR="003D3E35" w:rsidRPr="00006F43" w:rsidRDefault="003D3E35" w:rsidP="003D3E35">
      <w:pPr>
        <w:pStyle w:val="Lijstalinea"/>
        <w:numPr>
          <w:ilvl w:val="0"/>
          <w:numId w:val="7"/>
        </w:numPr>
        <w:rPr>
          <w:rFonts w:asciiTheme="majorHAnsi" w:hAnsiTheme="majorHAnsi"/>
        </w:rPr>
      </w:pPr>
      <w:r w:rsidRPr="00006F43">
        <w:rPr>
          <w:rFonts w:asciiTheme="majorHAnsi" w:hAnsiTheme="majorHAnsi"/>
        </w:rPr>
        <w:t>Nederlands</w:t>
      </w:r>
    </w:p>
    <w:p w14:paraId="6F4012EA" w14:textId="77777777" w:rsidR="003D3E35" w:rsidRPr="00006F43" w:rsidRDefault="003D3E35" w:rsidP="003D3E35">
      <w:pPr>
        <w:pStyle w:val="Lijstalinea"/>
        <w:numPr>
          <w:ilvl w:val="0"/>
          <w:numId w:val="7"/>
        </w:numPr>
        <w:rPr>
          <w:rFonts w:asciiTheme="majorHAnsi" w:hAnsiTheme="majorHAnsi"/>
        </w:rPr>
      </w:pPr>
      <w:r w:rsidRPr="00006F43">
        <w:rPr>
          <w:rFonts w:asciiTheme="majorHAnsi" w:hAnsiTheme="majorHAnsi"/>
        </w:rPr>
        <w:t>Reken</w:t>
      </w:r>
      <w:r>
        <w:rPr>
          <w:rFonts w:asciiTheme="majorHAnsi" w:hAnsiTheme="majorHAnsi"/>
        </w:rPr>
        <w:t>en</w:t>
      </w:r>
      <w:r w:rsidRPr="00006F43">
        <w:rPr>
          <w:rFonts w:asciiTheme="majorHAnsi" w:hAnsiTheme="majorHAnsi"/>
        </w:rPr>
        <w:t>/wiskunde</w:t>
      </w:r>
    </w:p>
    <w:p w14:paraId="082284A9" w14:textId="77777777" w:rsidR="003D3E35" w:rsidRPr="00006F43" w:rsidRDefault="003D3E35" w:rsidP="003D3E35">
      <w:pPr>
        <w:pStyle w:val="Lijstalinea"/>
        <w:numPr>
          <w:ilvl w:val="0"/>
          <w:numId w:val="7"/>
        </w:numPr>
        <w:rPr>
          <w:rFonts w:asciiTheme="majorHAnsi" w:hAnsiTheme="majorHAnsi"/>
        </w:rPr>
      </w:pPr>
      <w:r w:rsidRPr="00006F43">
        <w:rPr>
          <w:rFonts w:asciiTheme="majorHAnsi" w:hAnsiTheme="majorHAnsi"/>
        </w:rPr>
        <w:t>Sociaal-emotionele ontwikkeling</w:t>
      </w:r>
    </w:p>
    <w:p w14:paraId="2F47FF5E" w14:textId="77777777" w:rsidR="003D3E35" w:rsidRPr="00006F43" w:rsidRDefault="003D3E35" w:rsidP="003D3E35">
      <w:pPr>
        <w:pStyle w:val="Lijstalinea"/>
        <w:numPr>
          <w:ilvl w:val="0"/>
          <w:numId w:val="7"/>
        </w:numPr>
        <w:rPr>
          <w:rFonts w:asciiTheme="majorHAnsi" w:hAnsiTheme="majorHAnsi"/>
        </w:rPr>
      </w:pPr>
      <w:r w:rsidRPr="00006F43">
        <w:rPr>
          <w:rFonts w:asciiTheme="majorHAnsi" w:hAnsiTheme="majorHAnsi"/>
        </w:rPr>
        <w:t>Schrijven</w:t>
      </w:r>
      <w:r>
        <w:rPr>
          <w:rFonts w:asciiTheme="majorHAnsi" w:hAnsiTheme="majorHAnsi"/>
        </w:rPr>
        <w:t>/lezen</w:t>
      </w:r>
    </w:p>
    <w:p w14:paraId="781C86EC" w14:textId="77777777" w:rsidR="003D3E35" w:rsidRDefault="003D3E35" w:rsidP="003D3E35">
      <w:pPr>
        <w:pStyle w:val="Lijstalinea"/>
        <w:numPr>
          <w:ilvl w:val="0"/>
          <w:numId w:val="7"/>
        </w:numPr>
        <w:rPr>
          <w:rFonts w:asciiTheme="majorHAnsi" w:hAnsiTheme="majorHAnsi"/>
        </w:rPr>
      </w:pPr>
      <w:r w:rsidRPr="00006F43">
        <w:rPr>
          <w:rFonts w:asciiTheme="majorHAnsi" w:hAnsiTheme="majorHAnsi"/>
        </w:rPr>
        <w:t>Vreemde talen</w:t>
      </w:r>
    </w:p>
    <w:p w14:paraId="7970FA66" w14:textId="77777777" w:rsidR="003D3E35" w:rsidRPr="00006F43" w:rsidRDefault="003D3E35" w:rsidP="003D3E35">
      <w:pPr>
        <w:pStyle w:val="Lijstalinea"/>
        <w:numPr>
          <w:ilvl w:val="0"/>
          <w:numId w:val="7"/>
        </w:numPr>
        <w:rPr>
          <w:rFonts w:asciiTheme="majorHAnsi" w:hAnsiTheme="majorHAnsi"/>
        </w:rPr>
      </w:pPr>
      <w:r>
        <w:rPr>
          <w:rFonts w:asciiTheme="majorHAnsi" w:hAnsiTheme="majorHAnsi"/>
        </w:rPr>
        <w:t>Wereldoriëntatie</w:t>
      </w:r>
    </w:p>
    <w:p w14:paraId="7E432631" w14:textId="77777777" w:rsidR="003D3E35" w:rsidRPr="00006F43" w:rsidRDefault="003D3E35" w:rsidP="003D3E35">
      <w:pPr>
        <w:rPr>
          <w:rFonts w:asciiTheme="majorHAnsi" w:hAnsiTheme="majorHAnsi"/>
        </w:rPr>
      </w:pPr>
      <w:r>
        <w:rPr>
          <w:rFonts w:asciiTheme="majorHAnsi" w:hAnsiTheme="majorHAnsi"/>
        </w:rPr>
        <w:br/>
      </w:r>
      <w:r w:rsidRPr="00AA651F">
        <w:rPr>
          <w:rFonts w:asciiTheme="majorHAnsi" w:hAnsiTheme="majorHAnsi"/>
          <w:i/>
          <w:iCs/>
        </w:rPr>
        <w:t>Leerpak</w:t>
      </w:r>
      <w:r>
        <w:rPr>
          <w:rFonts w:asciiTheme="majorHAnsi" w:hAnsiTheme="majorHAnsi"/>
          <w:i/>
          <w:iCs/>
        </w:rPr>
        <w:t>k</w:t>
      </w:r>
      <w:r w:rsidRPr="00AA651F">
        <w:rPr>
          <w:rFonts w:asciiTheme="majorHAnsi" w:hAnsiTheme="majorHAnsi"/>
          <w:i/>
          <w:iCs/>
        </w:rPr>
        <w:t>etten</w:t>
      </w:r>
      <w:r w:rsidRPr="00AA651F">
        <w:rPr>
          <w:rFonts w:asciiTheme="majorHAnsi" w:hAnsiTheme="majorHAnsi"/>
        </w:rPr>
        <w:br/>
        <w:t>De methoden en methode gebonden materialen die aangeboden worden middels een prijs per leerling vanuit de uitgeverij.</w:t>
      </w:r>
      <w:r>
        <w:rPr>
          <w:rFonts w:asciiTheme="majorHAnsi" w:hAnsiTheme="majorHAnsi"/>
        </w:rPr>
        <w:t xml:space="preserve"> </w:t>
      </w:r>
      <w:r>
        <w:rPr>
          <w:rFonts w:asciiTheme="majorHAnsi" w:hAnsiTheme="majorHAnsi"/>
        </w:rPr>
        <w:br/>
      </w:r>
    </w:p>
    <w:p w14:paraId="711D31D7" w14:textId="77777777" w:rsidR="003D3E35" w:rsidRPr="00006F43" w:rsidRDefault="003D3E35" w:rsidP="003D3E35">
      <w:pPr>
        <w:rPr>
          <w:rFonts w:asciiTheme="majorHAnsi" w:hAnsiTheme="majorHAnsi"/>
        </w:rPr>
      </w:pPr>
      <w:r>
        <w:rPr>
          <w:rFonts w:asciiTheme="majorHAnsi" w:hAnsiTheme="majorHAnsi"/>
          <w:i/>
        </w:rPr>
        <w:t>Educatieve software</w:t>
      </w:r>
      <w:r w:rsidRPr="00006F43">
        <w:rPr>
          <w:rFonts w:asciiTheme="majorHAnsi" w:hAnsiTheme="majorHAnsi"/>
        </w:rPr>
        <w:t xml:space="preserve"> heeft betrekking op software </w:t>
      </w:r>
      <w:r>
        <w:rPr>
          <w:rFonts w:asciiTheme="majorHAnsi" w:hAnsiTheme="majorHAnsi"/>
        </w:rPr>
        <w:t xml:space="preserve">met een pedagogisch-didactische functie, inclusief licenties en internetapplicaties. Dit betreft zowel </w:t>
      </w:r>
      <w:proofErr w:type="spellStart"/>
      <w:r>
        <w:rPr>
          <w:rFonts w:asciiTheme="majorHAnsi" w:hAnsiTheme="majorHAnsi"/>
        </w:rPr>
        <w:t>methodegebonden</w:t>
      </w:r>
      <w:proofErr w:type="spellEnd"/>
      <w:r>
        <w:rPr>
          <w:rFonts w:asciiTheme="majorHAnsi" w:hAnsiTheme="majorHAnsi"/>
        </w:rPr>
        <w:t xml:space="preserve">- als </w:t>
      </w:r>
      <w:proofErr w:type="spellStart"/>
      <w:r>
        <w:rPr>
          <w:rFonts w:asciiTheme="majorHAnsi" w:hAnsiTheme="majorHAnsi"/>
        </w:rPr>
        <w:t>methodevervangende</w:t>
      </w:r>
      <w:proofErr w:type="spellEnd"/>
      <w:r>
        <w:rPr>
          <w:rFonts w:asciiTheme="majorHAnsi" w:hAnsiTheme="majorHAnsi"/>
        </w:rPr>
        <w:t xml:space="preserve"> software. Educatieve software dient minimaal gebruikt te kunnen worden voor de </w:t>
      </w:r>
      <w:r w:rsidRPr="00006F43">
        <w:rPr>
          <w:rFonts w:asciiTheme="majorHAnsi" w:hAnsiTheme="majorHAnsi"/>
        </w:rPr>
        <w:t>volgende vak- en vormingsgebieden</w:t>
      </w:r>
    </w:p>
    <w:p w14:paraId="080DF1AE" w14:textId="77777777" w:rsidR="003D3E35" w:rsidRPr="00006F43" w:rsidRDefault="003D3E35" w:rsidP="003D3E35">
      <w:pPr>
        <w:rPr>
          <w:rFonts w:asciiTheme="majorHAnsi" w:hAnsiTheme="majorHAnsi"/>
        </w:rPr>
      </w:pPr>
    </w:p>
    <w:p w14:paraId="19FD5B55" w14:textId="77777777" w:rsidR="003D3E35" w:rsidRPr="00006F43" w:rsidRDefault="003D3E35" w:rsidP="003D3E35">
      <w:pPr>
        <w:pStyle w:val="Lijstalinea"/>
        <w:numPr>
          <w:ilvl w:val="0"/>
          <w:numId w:val="13"/>
        </w:numPr>
        <w:rPr>
          <w:rFonts w:asciiTheme="majorHAnsi" w:hAnsiTheme="majorHAnsi"/>
        </w:rPr>
      </w:pPr>
      <w:r w:rsidRPr="00006F43">
        <w:rPr>
          <w:rFonts w:asciiTheme="majorHAnsi" w:hAnsiTheme="majorHAnsi"/>
        </w:rPr>
        <w:t xml:space="preserve">Aardrijkskunde </w:t>
      </w:r>
    </w:p>
    <w:p w14:paraId="27A58B6B" w14:textId="77777777" w:rsidR="003D3E35" w:rsidRPr="00006F43" w:rsidRDefault="003D3E35" w:rsidP="003D3E35">
      <w:pPr>
        <w:pStyle w:val="Lijstalinea"/>
        <w:numPr>
          <w:ilvl w:val="0"/>
          <w:numId w:val="13"/>
        </w:numPr>
        <w:rPr>
          <w:rFonts w:asciiTheme="majorHAnsi" w:hAnsiTheme="majorHAnsi"/>
        </w:rPr>
      </w:pPr>
      <w:r w:rsidRPr="00006F43">
        <w:rPr>
          <w:rFonts w:asciiTheme="majorHAnsi" w:hAnsiTheme="majorHAnsi"/>
        </w:rPr>
        <w:t>Bewegingsonderwijs</w:t>
      </w:r>
    </w:p>
    <w:p w14:paraId="14E262E9" w14:textId="77777777" w:rsidR="003D3E35" w:rsidRPr="00006F43" w:rsidRDefault="003D3E35" w:rsidP="003D3E35">
      <w:pPr>
        <w:pStyle w:val="Lijstalinea"/>
        <w:numPr>
          <w:ilvl w:val="0"/>
          <w:numId w:val="13"/>
        </w:numPr>
        <w:rPr>
          <w:rFonts w:asciiTheme="majorHAnsi" w:hAnsiTheme="majorHAnsi"/>
        </w:rPr>
      </w:pPr>
      <w:r w:rsidRPr="00006F43">
        <w:rPr>
          <w:rFonts w:asciiTheme="majorHAnsi" w:hAnsiTheme="majorHAnsi"/>
        </w:rPr>
        <w:t>Drama</w:t>
      </w:r>
    </w:p>
    <w:p w14:paraId="4BF952B8" w14:textId="77777777" w:rsidR="003D3E35" w:rsidRPr="00006F43" w:rsidRDefault="003D3E35" w:rsidP="003D3E35">
      <w:pPr>
        <w:pStyle w:val="Lijstalinea"/>
        <w:numPr>
          <w:ilvl w:val="0"/>
          <w:numId w:val="13"/>
        </w:numPr>
        <w:rPr>
          <w:rFonts w:asciiTheme="majorHAnsi" w:hAnsiTheme="majorHAnsi"/>
        </w:rPr>
      </w:pPr>
      <w:r w:rsidRPr="00006F43">
        <w:rPr>
          <w:rFonts w:asciiTheme="majorHAnsi" w:hAnsiTheme="majorHAnsi"/>
        </w:rPr>
        <w:t>Expressievakken</w:t>
      </w:r>
    </w:p>
    <w:p w14:paraId="36E74106" w14:textId="77777777" w:rsidR="003D3E35" w:rsidRPr="00006F43" w:rsidRDefault="003D3E35" w:rsidP="003D3E35">
      <w:pPr>
        <w:pStyle w:val="Lijstalinea"/>
        <w:numPr>
          <w:ilvl w:val="0"/>
          <w:numId w:val="13"/>
        </w:numPr>
        <w:rPr>
          <w:rFonts w:asciiTheme="majorHAnsi" w:hAnsiTheme="majorHAnsi"/>
        </w:rPr>
      </w:pPr>
      <w:r w:rsidRPr="00006F43">
        <w:rPr>
          <w:rFonts w:asciiTheme="majorHAnsi" w:hAnsiTheme="majorHAnsi"/>
        </w:rPr>
        <w:lastRenderedPageBreak/>
        <w:t>Geschiedenis</w:t>
      </w:r>
    </w:p>
    <w:p w14:paraId="60B65766" w14:textId="77777777" w:rsidR="003D3E35" w:rsidRPr="00006F43" w:rsidRDefault="003D3E35" w:rsidP="003D3E35">
      <w:pPr>
        <w:pStyle w:val="Lijstalinea"/>
        <w:numPr>
          <w:ilvl w:val="0"/>
          <w:numId w:val="13"/>
        </w:numPr>
        <w:rPr>
          <w:rFonts w:asciiTheme="majorHAnsi" w:hAnsiTheme="majorHAnsi"/>
        </w:rPr>
      </w:pPr>
      <w:r w:rsidRPr="00006F43">
        <w:rPr>
          <w:rFonts w:asciiTheme="majorHAnsi" w:hAnsiTheme="majorHAnsi"/>
        </w:rPr>
        <w:t>Mens en samenleving</w:t>
      </w:r>
    </w:p>
    <w:p w14:paraId="4E43C430" w14:textId="77777777" w:rsidR="003D3E35" w:rsidRPr="00006F43" w:rsidRDefault="003D3E35" w:rsidP="003D3E35">
      <w:pPr>
        <w:pStyle w:val="Lijstalinea"/>
        <w:numPr>
          <w:ilvl w:val="0"/>
          <w:numId w:val="13"/>
        </w:numPr>
        <w:rPr>
          <w:rFonts w:asciiTheme="majorHAnsi" w:hAnsiTheme="majorHAnsi"/>
        </w:rPr>
      </w:pPr>
      <w:r w:rsidRPr="00006F43">
        <w:rPr>
          <w:rFonts w:asciiTheme="majorHAnsi" w:hAnsiTheme="majorHAnsi"/>
        </w:rPr>
        <w:t>Natuur en techniek</w:t>
      </w:r>
    </w:p>
    <w:p w14:paraId="18CA4101" w14:textId="77777777" w:rsidR="003D3E35" w:rsidRPr="00006F43" w:rsidRDefault="003D3E35" w:rsidP="003D3E35">
      <w:pPr>
        <w:pStyle w:val="Lijstalinea"/>
        <w:numPr>
          <w:ilvl w:val="0"/>
          <w:numId w:val="13"/>
        </w:numPr>
        <w:rPr>
          <w:rFonts w:asciiTheme="majorHAnsi" w:hAnsiTheme="majorHAnsi"/>
        </w:rPr>
      </w:pPr>
      <w:r w:rsidRPr="00006F43">
        <w:rPr>
          <w:rFonts w:asciiTheme="majorHAnsi" w:hAnsiTheme="majorHAnsi"/>
        </w:rPr>
        <w:t>Nederlands</w:t>
      </w:r>
    </w:p>
    <w:p w14:paraId="222C757E" w14:textId="77777777" w:rsidR="003D3E35" w:rsidRPr="00006F43" w:rsidRDefault="003D3E35" w:rsidP="003D3E35">
      <w:pPr>
        <w:pStyle w:val="Lijstalinea"/>
        <w:numPr>
          <w:ilvl w:val="0"/>
          <w:numId w:val="13"/>
        </w:numPr>
        <w:rPr>
          <w:rFonts w:asciiTheme="majorHAnsi" w:hAnsiTheme="majorHAnsi"/>
        </w:rPr>
      </w:pPr>
      <w:r w:rsidRPr="00006F43">
        <w:rPr>
          <w:rFonts w:asciiTheme="majorHAnsi" w:hAnsiTheme="majorHAnsi"/>
        </w:rPr>
        <w:t>Reken</w:t>
      </w:r>
      <w:r>
        <w:rPr>
          <w:rFonts w:asciiTheme="majorHAnsi" w:hAnsiTheme="majorHAnsi"/>
        </w:rPr>
        <w:t>en</w:t>
      </w:r>
      <w:r w:rsidRPr="00006F43">
        <w:rPr>
          <w:rFonts w:asciiTheme="majorHAnsi" w:hAnsiTheme="majorHAnsi"/>
        </w:rPr>
        <w:t>/wiskunde</w:t>
      </w:r>
    </w:p>
    <w:p w14:paraId="1EA42A1C" w14:textId="77777777" w:rsidR="003D3E35" w:rsidRPr="00006F43" w:rsidRDefault="003D3E35" w:rsidP="003D3E35">
      <w:pPr>
        <w:pStyle w:val="Lijstalinea"/>
        <w:numPr>
          <w:ilvl w:val="0"/>
          <w:numId w:val="13"/>
        </w:numPr>
        <w:rPr>
          <w:rFonts w:asciiTheme="majorHAnsi" w:hAnsiTheme="majorHAnsi"/>
        </w:rPr>
      </w:pPr>
      <w:r w:rsidRPr="00006F43">
        <w:rPr>
          <w:rFonts w:asciiTheme="majorHAnsi" w:hAnsiTheme="majorHAnsi"/>
        </w:rPr>
        <w:t>Sociaal-emotionele ontwikkeling</w:t>
      </w:r>
    </w:p>
    <w:p w14:paraId="1AF024A7" w14:textId="77777777" w:rsidR="003D3E35" w:rsidRPr="00006F43" w:rsidRDefault="003D3E35" w:rsidP="003D3E35">
      <w:pPr>
        <w:pStyle w:val="Lijstalinea"/>
        <w:numPr>
          <w:ilvl w:val="0"/>
          <w:numId w:val="13"/>
        </w:numPr>
        <w:rPr>
          <w:rFonts w:asciiTheme="majorHAnsi" w:hAnsiTheme="majorHAnsi"/>
        </w:rPr>
      </w:pPr>
      <w:r w:rsidRPr="00006F43">
        <w:rPr>
          <w:rFonts w:asciiTheme="majorHAnsi" w:hAnsiTheme="majorHAnsi"/>
        </w:rPr>
        <w:t>Schrijven</w:t>
      </w:r>
      <w:r>
        <w:rPr>
          <w:rFonts w:asciiTheme="majorHAnsi" w:hAnsiTheme="majorHAnsi"/>
        </w:rPr>
        <w:t>/lezen</w:t>
      </w:r>
    </w:p>
    <w:p w14:paraId="09BAE227" w14:textId="77777777" w:rsidR="003D3E35" w:rsidRDefault="003D3E35" w:rsidP="003D3E35">
      <w:pPr>
        <w:pStyle w:val="Lijstalinea"/>
        <w:numPr>
          <w:ilvl w:val="0"/>
          <w:numId w:val="13"/>
        </w:numPr>
        <w:rPr>
          <w:rFonts w:asciiTheme="majorHAnsi" w:hAnsiTheme="majorHAnsi"/>
        </w:rPr>
      </w:pPr>
      <w:r w:rsidRPr="00006F43">
        <w:rPr>
          <w:rFonts w:asciiTheme="majorHAnsi" w:hAnsiTheme="majorHAnsi"/>
        </w:rPr>
        <w:t>Vreemde talen</w:t>
      </w:r>
    </w:p>
    <w:p w14:paraId="6182B095" w14:textId="77777777" w:rsidR="003D3E35" w:rsidRPr="00006F43" w:rsidRDefault="003D3E35" w:rsidP="003D3E35">
      <w:pPr>
        <w:pStyle w:val="Lijstalinea"/>
        <w:numPr>
          <w:ilvl w:val="0"/>
          <w:numId w:val="13"/>
        </w:numPr>
        <w:rPr>
          <w:rFonts w:asciiTheme="majorHAnsi" w:hAnsiTheme="majorHAnsi"/>
        </w:rPr>
      </w:pPr>
      <w:r>
        <w:rPr>
          <w:rFonts w:asciiTheme="majorHAnsi" w:hAnsiTheme="majorHAnsi"/>
        </w:rPr>
        <w:t>Wereldoriëntatie</w:t>
      </w:r>
    </w:p>
    <w:p w14:paraId="6DBD29BB" w14:textId="77777777" w:rsidR="003D3E35" w:rsidRPr="00F235C3" w:rsidRDefault="003D3E35" w:rsidP="003D3E35">
      <w:pPr>
        <w:pStyle w:val="Normaalweb"/>
        <w:rPr>
          <w:rFonts w:asciiTheme="majorHAnsi" w:hAnsiTheme="majorHAnsi" w:cstheme="majorHAnsi"/>
          <w:color w:val="000000"/>
          <w:sz w:val="22"/>
          <w:szCs w:val="22"/>
        </w:rPr>
      </w:pPr>
      <w:bookmarkStart w:id="2" w:name="_Toc167782752"/>
      <w:r w:rsidRPr="003D3E35">
        <w:rPr>
          <w:rFonts w:asciiTheme="majorHAnsi" w:hAnsiTheme="majorHAnsi" w:cstheme="majorHAnsi"/>
          <w:color w:val="000000"/>
          <w:sz w:val="22"/>
          <w:szCs w:val="22"/>
        </w:rPr>
        <w:t>Indien tijdens de looptijd van de overeenkomst een nieuwe lesmethode wordt geïntroduceerd en ingevoerd binnen de onderwijsinstelling, is de inschrijver verplicht om, zonder bijkomende kosten voor de opdrachtgever, zorg te dragen voor een omruilactie. Dit houdt in dat de bestaande materialen, boeken en/of digitale leermiddelen, die vervangen dienen te worden door de materialen van de nieuwe lesmethode, door de inschrijver worden omgeruild. Hierbij zal de inschrijver zorgdragen voor een soepele overgang en ervoor zorgen dat de onderwijsprocessen ongestoord kunnen doorgaan.</w:t>
      </w:r>
    </w:p>
    <w:p w14:paraId="0CF6D077" w14:textId="77777777" w:rsidR="003D3E35" w:rsidRPr="00006F43" w:rsidRDefault="003D3E35" w:rsidP="003D3E35">
      <w:pPr>
        <w:pStyle w:val="Kop1"/>
      </w:pPr>
      <w:r w:rsidRPr="001B6FD4">
        <w:t>6.2 Methode advisering</w:t>
      </w:r>
      <w:bookmarkEnd w:id="2"/>
    </w:p>
    <w:p w14:paraId="73A81D80" w14:textId="77777777" w:rsidR="003D3E35" w:rsidRPr="00006F43" w:rsidRDefault="003D3E35" w:rsidP="003D3E35">
      <w:pPr>
        <w:rPr>
          <w:rFonts w:asciiTheme="majorHAnsi" w:hAnsiTheme="majorHAnsi"/>
        </w:rPr>
      </w:pPr>
      <w:r w:rsidRPr="00006F43">
        <w:rPr>
          <w:rFonts w:asciiTheme="majorHAnsi" w:hAnsiTheme="majorHAnsi"/>
        </w:rPr>
        <w:t xml:space="preserve">Inschrijver is in staat invulling te geven of te laten geven aan methodevoorlichting. </w:t>
      </w:r>
    </w:p>
    <w:p w14:paraId="1380A127" w14:textId="77777777" w:rsidR="003D3E35" w:rsidRPr="00006F43" w:rsidRDefault="003D3E35" w:rsidP="003D3E35">
      <w:pPr>
        <w:rPr>
          <w:rFonts w:asciiTheme="majorHAnsi" w:hAnsiTheme="majorHAnsi"/>
        </w:rPr>
      </w:pPr>
    </w:p>
    <w:p w14:paraId="48B30D24" w14:textId="77777777" w:rsidR="003D3E35" w:rsidRPr="00006F43" w:rsidRDefault="003D3E35" w:rsidP="003D3E35">
      <w:pPr>
        <w:rPr>
          <w:rFonts w:asciiTheme="majorHAnsi" w:hAnsiTheme="majorHAnsi"/>
        </w:rPr>
      </w:pPr>
      <w:r w:rsidRPr="00006F43">
        <w:rPr>
          <w:rFonts w:asciiTheme="majorHAnsi" w:hAnsiTheme="majorHAnsi"/>
        </w:rPr>
        <w:t xml:space="preserve">Daarbij geldt dat per 40 leerlingen een uur voorlichting per jaar is inbegrepen in de dienstverlening zonder dat hiervoor kosten in rekening worden gebracht. Er wordt naar boven afgerond op hele uren. </w:t>
      </w:r>
    </w:p>
    <w:p w14:paraId="180BEBDB" w14:textId="77777777" w:rsidR="003D3E35" w:rsidRPr="00006F43" w:rsidRDefault="003D3E35" w:rsidP="003D3E35">
      <w:pPr>
        <w:rPr>
          <w:rFonts w:asciiTheme="majorHAnsi" w:hAnsiTheme="majorHAnsi"/>
        </w:rPr>
      </w:pPr>
    </w:p>
    <w:p w14:paraId="1C63F8DE" w14:textId="77777777" w:rsidR="003D3E35" w:rsidRPr="00006F43" w:rsidRDefault="003D3E35" w:rsidP="003D3E35">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Ter illustratie</w:t>
      </w:r>
    </w:p>
    <w:p w14:paraId="424F1AFD" w14:textId="77777777" w:rsidR="003D3E35" w:rsidRPr="00006F43" w:rsidRDefault="003D3E35" w:rsidP="003D3E35">
      <w:pPr>
        <w:pBdr>
          <w:top w:val="single" w:sz="4" w:space="1" w:color="auto"/>
          <w:left w:val="single" w:sz="4" w:space="4" w:color="auto"/>
          <w:bottom w:val="single" w:sz="4" w:space="1" w:color="auto"/>
          <w:right w:val="single" w:sz="4" w:space="4" w:color="auto"/>
        </w:pBdr>
        <w:rPr>
          <w:rFonts w:asciiTheme="majorHAnsi" w:hAnsiTheme="majorHAnsi"/>
          <w:i/>
        </w:rPr>
      </w:pPr>
    </w:p>
    <w:p w14:paraId="6FCB3A8B" w14:textId="77777777" w:rsidR="003D3E35" w:rsidRPr="00D02359" w:rsidRDefault="003D3E35" w:rsidP="003D3E35">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 xml:space="preserve">Aanbestedende </w:t>
      </w:r>
      <w:r>
        <w:rPr>
          <w:rFonts w:asciiTheme="majorHAnsi" w:hAnsiTheme="majorHAnsi"/>
          <w:i/>
        </w:rPr>
        <w:t>D</w:t>
      </w:r>
      <w:r w:rsidRPr="00006F43">
        <w:rPr>
          <w:rFonts w:asciiTheme="majorHAnsi" w:hAnsiTheme="majorHAnsi"/>
          <w:i/>
        </w:rPr>
        <w:t xml:space="preserve">ienst heeft </w:t>
      </w:r>
      <w:r>
        <w:rPr>
          <w:rFonts w:asciiTheme="majorHAnsi" w:hAnsiTheme="majorHAnsi"/>
          <w:i/>
        </w:rPr>
        <w:t>3600</w:t>
      </w:r>
      <w:r w:rsidRPr="00006F43">
        <w:rPr>
          <w:rFonts w:asciiTheme="majorHAnsi" w:hAnsiTheme="majorHAnsi"/>
          <w:i/>
        </w:rPr>
        <w:t xml:space="preserve"> leerlingen.</w:t>
      </w:r>
      <w:r>
        <w:rPr>
          <w:rFonts w:asciiTheme="majorHAnsi" w:hAnsiTheme="majorHAnsi"/>
          <w:i/>
        </w:rPr>
        <w:t xml:space="preserve"> H</w:t>
      </w:r>
      <w:r w:rsidRPr="00006F43">
        <w:rPr>
          <w:rFonts w:asciiTheme="majorHAnsi" w:hAnsiTheme="majorHAnsi"/>
          <w:i/>
        </w:rPr>
        <w:t>et aantal advies</w:t>
      </w:r>
      <w:r>
        <w:rPr>
          <w:rFonts w:asciiTheme="majorHAnsi" w:hAnsiTheme="majorHAnsi"/>
          <w:i/>
        </w:rPr>
        <w:t xml:space="preserve"> </w:t>
      </w:r>
      <w:r w:rsidRPr="00006F43">
        <w:rPr>
          <w:rFonts w:asciiTheme="majorHAnsi" w:hAnsiTheme="majorHAnsi"/>
          <w:i/>
        </w:rPr>
        <w:t xml:space="preserve">uren welke niet in rekening zullen </w:t>
      </w:r>
      <w:r w:rsidRPr="00D02359">
        <w:rPr>
          <w:rFonts w:asciiTheme="majorHAnsi" w:hAnsiTheme="majorHAnsi"/>
          <w:i/>
        </w:rPr>
        <w:t xml:space="preserve">worden gebracht bedraagt 90. De berekening is als volgt: </w:t>
      </w:r>
    </w:p>
    <w:p w14:paraId="6291D025" w14:textId="77777777" w:rsidR="003D3E35" w:rsidRPr="00006F43" w:rsidRDefault="003D3E35" w:rsidP="003D3E35">
      <w:pPr>
        <w:pBdr>
          <w:top w:val="single" w:sz="4" w:space="1" w:color="auto"/>
          <w:left w:val="single" w:sz="4" w:space="4" w:color="auto"/>
          <w:bottom w:val="single" w:sz="4" w:space="1" w:color="auto"/>
          <w:right w:val="single" w:sz="4" w:space="4" w:color="auto"/>
        </w:pBdr>
        <w:rPr>
          <w:rFonts w:asciiTheme="majorHAnsi" w:hAnsiTheme="majorHAnsi"/>
          <w:i/>
        </w:rPr>
      </w:pPr>
      <w:r w:rsidRPr="00D02359">
        <w:rPr>
          <w:rFonts w:asciiTheme="majorHAnsi" w:hAnsiTheme="majorHAnsi"/>
          <w:i/>
        </w:rPr>
        <w:t>3600/40 =90</w:t>
      </w:r>
    </w:p>
    <w:p w14:paraId="0EEAF9C8" w14:textId="77777777" w:rsidR="003D3E35" w:rsidRPr="00006F43" w:rsidRDefault="003D3E35" w:rsidP="003D3E35">
      <w:pPr>
        <w:rPr>
          <w:rFonts w:asciiTheme="majorHAnsi" w:hAnsiTheme="majorHAnsi"/>
        </w:rPr>
      </w:pPr>
    </w:p>
    <w:p w14:paraId="677D1511" w14:textId="77777777" w:rsidR="003D3E35" w:rsidRPr="00006F43" w:rsidRDefault="003D3E35" w:rsidP="003D3E35">
      <w:pPr>
        <w:rPr>
          <w:rFonts w:asciiTheme="majorHAnsi" w:hAnsiTheme="majorHAnsi"/>
        </w:rPr>
      </w:pPr>
      <w:r w:rsidRPr="00006F43">
        <w:rPr>
          <w:rFonts w:asciiTheme="majorHAnsi" w:hAnsiTheme="majorHAnsi"/>
        </w:rPr>
        <w:t xml:space="preserve">Wanneer de inschrijver voor de uren, die niet zijn inbegrepen in de dienstverlening, een vergoeding in rekening </w:t>
      </w:r>
      <w:r>
        <w:rPr>
          <w:rFonts w:asciiTheme="majorHAnsi" w:hAnsiTheme="majorHAnsi"/>
        </w:rPr>
        <w:t xml:space="preserve">wenst </w:t>
      </w:r>
      <w:r w:rsidRPr="00006F43">
        <w:rPr>
          <w:rFonts w:asciiTheme="majorHAnsi" w:hAnsiTheme="majorHAnsi"/>
        </w:rPr>
        <w:t xml:space="preserve">te brengen, geldt dat deze vergoeding niet meer zal bedragen dan </w:t>
      </w:r>
      <w:r>
        <w:rPr>
          <w:rFonts w:asciiTheme="majorHAnsi" w:hAnsiTheme="majorHAnsi"/>
        </w:rPr>
        <w:t xml:space="preserve">€ </w:t>
      </w:r>
      <w:r w:rsidRPr="00006F43">
        <w:rPr>
          <w:rFonts w:asciiTheme="majorHAnsi" w:hAnsiTheme="majorHAnsi"/>
        </w:rPr>
        <w:t>80</w:t>
      </w:r>
      <w:r>
        <w:rPr>
          <w:rFonts w:asciiTheme="majorHAnsi" w:hAnsiTheme="majorHAnsi"/>
        </w:rPr>
        <w:t>,-</w:t>
      </w:r>
      <w:r w:rsidRPr="00006F43">
        <w:rPr>
          <w:rFonts w:asciiTheme="majorHAnsi" w:hAnsiTheme="majorHAnsi"/>
        </w:rPr>
        <w:t xml:space="preserve"> ex</w:t>
      </w:r>
      <w:r>
        <w:rPr>
          <w:rFonts w:asciiTheme="majorHAnsi" w:hAnsiTheme="majorHAnsi"/>
        </w:rPr>
        <w:t>cl.</w:t>
      </w:r>
      <w:r w:rsidRPr="00006F43">
        <w:rPr>
          <w:rFonts w:asciiTheme="majorHAnsi" w:hAnsiTheme="majorHAnsi"/>
        </w:rPr>
        <w:t xml:space="preserve"> btw per uur inclusief reis- en overige kosten. </w:t>
      </w:r>
    </w:p>
    <w:p w14:paraId="449E1BD8" w14:textId="77777777" w:rsidR="003D3E35" w:rsidRPr="00006F43" w:rsidRDefault="003D3E35" w:rsidP="003D3E35">
      <w:pPr>
        <w:pStyle w:val="Kop1"/>
      </w:pPr>
      <w:bookmarkStart w:id="3" w:name="_Toc167782753"/>
      <w:r w:rsidRPr="001B6FD4">
        <w:t>6.3 Zichtzendingen</w:t>
      </w:r>
      <w:bookmarkEnd w:id="3"/>
    </w:p>
    <w:p w14:paraId="009F122D" w14:textId="77777777" w:rsidR="003D3E35" w:rsidRPr="00006F43" w:rsidRDefault="003D3E35" w:rsidP="003D3E35">
      <w:pPr>
        <w:rPr>
          <w:rFonts w:asciiTheme="majorHAnsi" w:hAnsiTheme="majorHAnsi"/>
        </w:rPr>
      </w:pPr>
      <w:r>
        <w:rPr>
          <w:rFonts w:asciiTheme="majorHAnsi" w:hAnsiTheme="majorHAnsi"/>
        </w:rPr>
        <w:t>Zichtzendingen worden zonder kosten ter beschikking gesteld.</w:t>
      </w:r>
    </w:p>
    <w:p w14:paraId="7189009E" w14:textId="77777777" w:rsidR="003D3E35" w:rsidRPr="00006F43" w:rsidRDefault="003D3E35" w:rsidP="003D3E35">
      <w:pPr>
        <w:pStyle w:val="Kop1"/>
      </w:pPr>
      <w:bookmarkStart w:id="4" w:name="_Toc167782754"/>
      <w:r w:rsidRPr="001B6FD4">
        <w:t>6.4 Webshop</w:t>
      </w:r>
      <w:bookmarkEnd w:id="4"/>
    </w:p>
    <w:p w14:paraId="2FE9970D" w14:textId="77777777" w:rsidR="003D3E35" w:rsidRPr="00006F43" w:rsidRDefault="003D3E35" w:rsidP="003D3E35">
      <w:pPr>
        <w:rPr>
          <w:rFonts w:asciiTheme="majorHAnsi" w:hAnsiTheme="majorHAnsi"/>
        </w:rPr>
      </w:pPr>
      <w:r w:rsidRPr="00006F43">
        <w:rPr>
          <w:rFonts w:asciiTheme="majorHAnsi" w:hAnsiTheme="majorHAnsi"/>
        </w:rPr>
        <w:t>De inschrijver dient te beschikken over een online bestelmodule (webshop) welke kosteloos ter beschikking wordt gesteld, waarbij:</w:t>
      </w:r>
    </w:p>
    <w:p w14:paraId="2F549116" w14:textId="77777777" w:rsidR="003D3E35" w:rsidRPr="00006F43" w:rsidRDefault="003D3E35" w:rsidP="003D3E35">
      <w:pPr>
        <w:rPr>
          <w:rFonts w:asciiTheme="majorHAnsi" w:hAnsiTheme="majorHAnsi"/>
        </w:rPr>
      </w:pPr>
    </w:p>
    <w:p w14:paraId="5A4EB7C8" w14:textId="77777777" w:rsidR="003D3E35" w:rsidRPr="00006F43" w:rsidRDefault="003D3E35" w:rsidP="003D3E35">
      <w:pPr>
        <w:pStyle w:val="Lijstalinea"/>
        <w:numPr>
          <w:ilvl w:val="0"/>
          <w:numId w:val="9"/>
        </w:numPr>
        <w:rPr>
          <w:rFonts w:asciiTheme="majorHAnsi" w:hAnsiTheme="majorHAnsi"/>
        </w:rPr>
      </w:pPr>
      <w:r w:rsidRPr="00006F43">
        <w:rPr>
          <w:rFonts w:asciiTheme="majorHAnsi" w:hAnsiTheme="majorHAnsi"/>
        </w:rPr>
        <w:t>Elke school één of meerdere inlogcodes krijgt.</w:t>
      </w:r>
    </w:p>
    <w:p w14:paraId="18ED55BD" w14:textId="77777777" w:rsidR="003D3E35" w:rsidRPr="00006F43" w:rsidRDefault="003D3E35" w:rsidP="003D3E35">
      <w:pPr>
        <w:pStyle w:val="Lijstalinea"/>
        <w:numPr>
          <w:ilvl w:val="0"/>
          <w:numId w:val="9"/>
        </w:numPr>
        <w:rPr>
          <w:rFonts w:asciiTheme="majorHAnsi" w:hAnsiTheme="majorHAnsi"/>
        </w:rPr>
      </w:pPr>
      <w:r w:rsidRPr="00006F43">
        <w:rPr>
          <w:rFonts w:asciiTheme="majorHAnsi" w:hAnsiTheme="majorHAnsi"/>
        </w:rPr>
        <w:t>Scholen individueel kunnen bestellen.</w:t>
      </w:r>
    </w:p>
    <w:p w14:paraId="63FF0495" w14:textId="77777777" w:rsidR="003D3E35" w:rsidRPr="00006F43" w:rsidRDefault="003D3E35" w:rsidP="003D3E35">
      <w:pPr>
        <w:pStyle w:val="Lijstalinea"/>
        <w:numPr>
          <w:ilvl w:val="0"/>
          <w:numId w:val="9"/>
        </w:numPr>
        <w:rPr>
          <w:rFonts w:asciiTheme="majorHAnsi" w:hAnsiTheme="majorHAnsi"/>
        </w:rPr>
      </w:pPr>
      <w:r w:rsidRPr="00006F43">
        <w:rPr>
          <w:rFonts w:asciiTheme="majorHAnsi" w:hAnsiTheme="majorHAnsi"/>
        </w:rPr>
        <w:t xml:space="preserve">De webshop </w:t>
      </w:r>
      <w:r>
        <w:rPr>
          <w:rFonts w:asciiTheme="majorHAnsi" w:hAnsiTheme="majorHAnsi"/>
        </w:rPr>
        <w:t xml:space="preserve">de mogelijkheid heeft </w:t>
      </w:r>
      <w:r w:rsidRPr="00006F43">
        <w:rPr>
          <w:rFonts w:asciiTheme="majorHAnsi" w:hAnsiTheme="majorHAnsi"/>
        </w:rPr>
        <w:t xml:space="preserve">om autorisaties aan te brengen om te bepalen wie mag en kan bestellen. Per account kan een maximum bestelbedrag worden ingegeven. </w:t>
      </w:r>
    </w:p>
    <w:p w14:paraId="495FA890" w14:textId="77777777" w:rsidR="003D3E35" w:rsidRPr="00006F43" w:rsidRDefault="003D3E35" w:rsidP="003D3E35">
      <w:pPr>
        <w:pStyle w:val="Lijstalinea"/>
        <w:numPr>
          <w:ilvl w:val="0"/>
          <w:numId w:val="9"/>
        </w:numPr>
        <w:rPr>
          <w:rFonts w:asciiTheme="majorHAnsi" w:hAnsiTheme="majorHAnsi"/>
        </w:rPr>
      </w:pPr>
      <w:r>
        <w:rPr>
          <w:rFonts w:asciiTheme="majorHAnsi" w:hAnsiTheme="majorHAnsi"/>
        </w:rPr>
        <w:t>E</w:t>
      </w:r>
      <w:r w:rsidRPr="00006F43">
        <w:rPr>
          <w:rFonts w:asciiTheme="majorHAnsi" w:hAnsiTheme="majorHAnsi"/>
        </w:rPr>
        <w:t xml:space="preserve">en duidelijke handleiding van de webshop </w:t>
      </w:r>
      <w:r>
        <w:rPr>
          <w:rFonts w:asciiTheme="majorHAnsi" w:hAnsiTheme="majorHAnsi"/>
        </w:rPr>
        <w:t>beschikbaar is</w:t>
      </w:r>
      <w:r w:rsidRPr="00006F43">
        <w:rPr>
          <w:rFonts w:asciiTheme="majorHAnsi" w:hAnsiTheme="majorHAnsi"/>
        </w:rPr>
        <w:t>.</w:t>
      </w:r>
    </w:p>
    <w:p w14:paraId="75D26D62" w14:textId="77777777" w:rsidR="003D3E35" w:rsidRPr="00006F43" w:rsidRDefault="003D3E35" w:rsidP="003D3E35">
      <w:pPr>
        <w:pStyle w:val="Lijstalinea"/>
        <w:numPr>
          <w:ilvl w:val="0"/>
          <w:numId w:val="9"/>
        </w:numPr>
        <w:rPr>
          <w:rFonts w:asciiTheme="majorHAnsi" w:hAnsiTheme="majorHAnsi"/>
        </w:rPr>
      </w:pPr>
      <w:r w:rsidRPr="00006F43">
        <w:rPr>
          <w:rFonts w:asciiTheme="majorHAnsi" w:hAnsiTheme="majorHAnsi"/>
        </w:rPr>
        <w:lastRenderedPageBreak/>
        <w:t xml:space="preserve">In de webshop de methode gebonden duurzame gebruiksmaterialen (leerboeken, handleidingen, etc.) en methode gebonden verbruiksmaterialen (werkboeken, </w:t>
      </w:r>
      <w:proofErr w:type="spellStart"/>
      <w:r w:rsidRPr="00006F43">
        <w:rPr>
          <w:rFonts w:asciiTheme="majorHAnsi" w:hAnsiTheme="majorHAnsi"/>
        </w:rPr>
        <w:t>toetsboeken</w:t>
      </w:r>
      <w:proofErr w:type="spellEnd"/>
      <w:r w:rsidRPr="00006F43">
        <w:rPr>
          <w:rFonts w:asciiTheme="majorHAnsi" w:hAnsiTheme="majorHAnsi"/>
        </w:rPr>
        <w:t xml:space="preserve">, etc.) duidelijk herkenbaar weergegeven dienen te worden. </w:t>
      </w:r>
    </w:p>
    <w:p w14:paraId="24BB36F9" w14:textId="77777777" w:rsidR="003D3E35" w:rsidRPr="00006F43" w:rsidRDefault="003D3E35" w:rsidP="003D3E35">
      <w:pPr>
        <w:pStyle w:val="Lijstalinea"/>
        <w:numPr>
          <w:ilvl w:val="0"/>
          <w:numId w:val="9"/>
        </w:numPr>
        <w:rPr>
          <w:rFonts w:asciiTheme="majorHAnsi" w:hAnsiTheme="majorHAnsi"/>
        </w:rPr>
      </w:pPr>
      <w:r w:rsidRPr="00006F43">
        <w:rPr>
          <w:rFonts w:asciiTheme="majorHAnsi" w:hAnsiTheme="majorHAnsi"/>
        </w:rPr>
        <w:t>De scholen eerder geplaatste bestellingen kunnen bewerken.</w:t>
      </w:r>
    </w:p>
    <w:p w14:paraId="3D38B75D" w14:textId="77777777" w:rsidR="003D3E35" w:rsidRPr="00006F43" w:rsidRDefault="003D3E35" w:rsidP="003D3E35">
      <w:pPr>
        <w:pStyle w:val="Lijstalinea"/>
        <w:numPr>
          <w:ilvl w:val="0"/>
          <w:numId w:val="9"/>
        </w:numPr>
        <w:rPr>
          <w:rFonts w:asciiTheme="majorHAnsi" w:hAnsiTheme="majorHAnsi"/>
        </w:rPr>
      </w:pPr>
      <w:r w:rsidRPr="00006F43">
        <w:rPr>
          <w:rFonts w:asciiTheme="majorHAnsi" w:hAnsiTheme="majorHAnsi"/>
        </w:rPr>
        <w:t>Manco’s en retourzendingen kunnen worden aangemeld.</w:t>
      </w:r>
    </w:p>
    <w:p w14:paraId="43DF3A82" w14:textId="77777777" w:rsidR="003D3E35" w:rsidRPr="00006F43" w:rsidRDefault="003D3E35" w:rsidP="003D3E35">
      <w:pPr>
        <w:pStyle w:val="Lijstalinea"/>
        <w:numPr>
          <w:ilvl w:val="0"/>
          <w:numId w:val="9"/>
        </w:numPr>
        <w:rPr>
          <w:rFonts w:asciiTheme="majorHAnsi" w:hAnsiTheme="majorHAnsi"/>
        </w:rPr>
      </w:pPr>
      <w:r w:rsidRPr="00006F43">
        <w:rPr>
          <w:rFonts w:asciiTheme="majorHAnsi" w:hAnsiTheme="majorHAnsi"/>
        </w:rPr>
        <w:t xml:space="preserve">Bestelhistorie zichtbaar is zodat alle eerder geplaatste bestellingen kunnen worden ingezien en kunnen worden hergebruikt.  </w:t>
      </w:r>
    </w:p>
    <w:p w14:paraId="65D47141" w14:textId="77777777" w:rsidR="003D3E35" w:rsidRDefault="003D3E35" w:rsidP="003D3E35">
      <w:pPr>
        <w:pStyle w:val="Lijstalinea"/>
        <w:numPr>
          <w:ilvl w:val="0"/>
          <w:numId w:val="9"/>
        </w:numPr>
        <w:rPr>
          <w:rFonts w:asciiTheme="majorHAnsi" w:hAnsiTheme="majorHAnsi"/>
        </w:rPr>
      </w:pPr>
      <w:r w:rsidRPr="00006F43">
        <w:rPr>
          <w:rFonts w:asciiTheme="majorHAnsi" w:hAnsiTheme="majorHAnsi"/>
        </w:rPr>
        <w:t xml:space="preserve">Scholen bevestiging ontvangen na bestelling. </w:t>
      </w:r>
    </w:p>
    <w:p w14:paraId="2209B743" w14:textId="77777777" w:rsidR="003D3E35" w:rsidRPr="00006F43" w:rsidRDefault="003D3E35" w:rsidP="003D3E35">
      <w:pPr>
        <w:pStyle w:val="Lijstalinea"/>
        <w:numPr>
          <w:ilvl w:val="0"/>
          <w:numId w:val="9"/>
        </w:numPr>
        <w:rPr>
          <w:rFonts w:asciiTheme="majorHAnsi" w:hAnsiTheme="majorHAnsi"/>
        </w:rPr>
      </w:pPr>
      <w:r>
        <w:rPr>
          <w:rFonts w:asciiTheme="majorHAnsi" w:hAnsiTheme="majorHAnsi"/>
        </w:rPr>
        <w:t>Prijzen duidelijk en inclusief btw zichtbaar zijn.</w:t>
      </w:r>
      <w:r w:rsidRPr="00006F43">
        <w:rPr>
          <w:rFonts w:asciiTheme="majorHAnsi" w:hAnsiTheme="majorHAnsi"/>
        </w:rPr>
        <w:t xml:space="preserve"> </w:t>
      </w:r>
    </w:p>
    <w:p w14:paraId="69C84759" w14:textId="77777777" w:rsidR="003D3E35" w:rsidRPr="00C67362" w:rsidRDefault="003D3E35" w:rsidP="003D3E35">
      <w:pPr>
        <w:pStyle w:val="Kop1"/>
      </w:pPr>
      <w:bookmarkStart w:id="5" w:name="_Toc167782755"/>
      <w:r w:rsidRPr="001B6FD4">
        <w:t>6.5 Helpdesk</w:t>
      </w:r>
      <w:bookmarkEnd w:id="5"/>
    </w:p>
    <w:p w14:paraId="43662282" w14:textId="77777777" w:rsidR="003D3E35" w:rsidRDefault="003D3E35" w:rsidP="003D3E35">
      <w:r w:rsidRPr="00C67362">
        <w:rPr>
          <w:rFonts w:asciiTheme="majorHAnsi" w:hAnsiTheme="majorHAnsi"/>
        </w:rPr>
        <w:t xml:space="preserve">Eventuele vragen over leveringen of dienstverlening kunnen telefonisch of per e-mail gesteld worden aan </w:t>
      </w:r>
      <w:proofErr w:type="gramStart"/>
      <w:r w:rsidRPr="00C67362">
        <w:rPr>
          <w:rFonts w:asciiTheme="majorHAnsi" w:hAnsiTheme="majorHAnsi"/>
        </w:rPr>
        <w:t>inschrijver</w:t>
      </w:r>
      <w:proofErr w:type="gramEnd"/>
      <w:r w:rsidRPr="00C67362">
        <w:rPr>
          <w:rFonts w:asciiTheme="majorHAnsi" w:hAnsiTheme="majorHAnsi"/>
        </w:rPr>
        <w:t>.</w:t>
      </w:r>
    </w:p>
    <w:p w14:paraId="4046B4C3" w14:textId="77777777" w:rsidR="003D3E35" w:rsidRPr="00C67362" w:rsidRDefault="003D3E35" w:rsidP="003D3E35">
      <w:pPr>
        <w:pStyle w:val="Kop1"/>
      </w:pPr>
      <w:bookmarkStart w:id="6" w:name="_Toc167782756"/>
      <w:r w:rsidRPr="001B6FD4">
        <w:t>6.6 Communicatie</w:t>
      </w:r>
      <w:bookmarkEnd w:id="6"/>
    </w:p>
    <w:p w14:paraId="73916704" w14:textId="77777777" w:rsidR="003D3E35" w:rsidRDefault="003D3E35" w:rsidP="003D3E35">
      <w:pPr>
        <w:rPr>
          <w:rFonts w:asciiTheme="majorHAnsi" w:hAnsiTheme="majorHAnsi"/>
        </w:rPr>
      </w:pPr>
      <w:r w:rsidRPr="003D3E35">
        <w:rPr>
          <w:rFonts w:asciiTheme="majorHAnsi" w:hAnsiTheme="majorHAnsi"/>
        </w:rPr>
        <w:t xml:space="preserve">De inschrijver stelt een accountmanager beschikbaar per school welke de school minimaal eens per jaar zal </w:t>
      </w:r>
      <w:proofErr w:type="gramStart"/>
      <w:r w:rsidRPr="003D3E35">
        <w:rPr>
          <w:rFonts w:asciiTheme="majorHAnsi" w:hAnsiTheme="majorHAnsi"/>
        </w:rPr>
        <w:t>bezoeken</w:t>
      </w:r>
      <w:proofErr w:type="gramEnd"/>
      <w:r w:rsidRPr="003D3E35">
        <w:rPr>
          <w:rFonts w:asciiTheme="majorHAnsi" w:hAnsiTheme="majorHAnsi"/>
        </w:rPr>
        <w:t xml:space="preserve"> en voldoende kennis van de methodes heeft. Minimaal eens per jaar vindt er op initiatief van de inschrijver een gesprek plaats op bestuursniveau. Daarnaast houdt de accountmanager de aanbestedende dienst proactief op de hoogte van nieuwe producten en diensten en zorgt hij/zij voor een juiste ondersteuning bij de jaarbestelling, indien gewenst.</w:t>
      </w:r>
    </w:p>
    <w:p w14:paraId="2C29FDEA" w14:textId="77777777" w:rsidR="003D3E35" w:rsidRPr="00C67362" w:rsidRDefault="003D3E35" w:rsidP="003D3E35">
      <w:pPr>
        <w:rPr>
          <w:rFonts w:asciiTheme="majorHAnsi" w:hAnsiTheme="majorHAnsi"/>
        </w:rPr>
      </w:pPr>
    </w:p>
    <w:p w14:paraId="61FEBE6A" w14:textId="77777777" w:rsidR="003D3E35" w:rsidRPr="00BE1654" w:rsidRDefault="003D3E35" w:rsidP="003D3E35">
      <w:pPr>
        <w:rPr>
          <w:rFonts w:asciiTheme="majorHAnsi" w:hAnsiTheme="majorHAnsi" w:cstheme="majorHAnsi"/>
        </w:rPr>
      </w:pPr>
      <w:bookmarkStart w:id="7" w:name="_Toc167782757"/>
      <w:r w:rsidRPr="00BE1654">
        <w:rPr>
          <w:rStyle w:val="Kop1Char"/>
        </w:rPr>
        <w:t>6.7 Leveringen</w:t>
      </w:r>
      <w:bookmarkEnd w:id="7"/>
      <w:r w:rsidRPr="00BE1654">
        <w:rPr>
          <w:rStyle w:val="Kop1Char"/>
        </w:rPr>
        <w:br/>
      </w:r>
      <w:r w:rsidRPr="00BE1654">
        <w:rPr>
          <w:rFonts w:asciiTheme="majorHAnsi" w:hAnsiTheme="majorHAnsi" w:cstheme="majorHAnsi"/>
        </w:rPr>
        <w:t xml:space="preserve">Er geldt geen minimale of maximale bestel- en/of ordergrootte. </w:t>
      </w:r>
      <w:r w:rsidRPr="00BE1654">
        <w:rPr>
          <w:rFonts w:asciiTheme="majorHAnsi" w:hAnsiTheme="majorHAnsi" w:cstheme="majorHAnsi"/>
        </w:rPr>
        <w:br/>
        <w:t xml:space="preserve">Aflevering zal plaatsvinden op het adres van individuele scholen vallend onder de Aanbestedende Dienst. Een overzicht van scholen vallend onder de Aanbestedende Dienst is opgenomen in de scholenlijst (bijlage 1). </w:t>
      </w:r>
      <w:r w:rsidRPr="00BE1654">
        <w:rPr>
          <w:rFonts w:asciiTheme="majorHAnsi" w:hAnsiTheme="majorHAnsi" w:cstheme="majorHAnsi"/>
        </w:rPr>
        <w:br/>
      </w:r>
    </w:p>
    <w:p w14:paraId="04DBE27F" w14:textId="77777777" w:rsidR="003D3E35" w:rsidRDefault="003D3E35" w:rsidP="003D3E35">
      <w:pPr>
        <w:rPr>
          <w:rFonts w:asciiTheme="majorHAnsi" w:hAnsiTheme="majorHAnsi" w:cstheme="majorHAnsi"/>
        </w:rPr>
      </w:pPr>
      <w:r w:rsidRPr="00BE1654">
        <w:rPr>
          <w:rFonts w:asciiTheme="majorHAnsi" w:hAnsiTheme="majorHAnsi" w:cstheme="majorHAnsi"/>
        </w:rPr>
        <w:t>Gedurende de looptijd van de overeenkomst is het mogelijk dat er mutaties optreden als gevolg van verhuizing van scholen/locaties of als gevolg van toevoeging/ afscheiding van scholen aan/van de Aanbestedende Dienst.</w:t>
      </w:r>
    </w:p>
    <w:p w14:paraId="028CCA87" w14:textId="77777777" w:rsidR="003D3E35" w:rsidRPr="00135391" w:rsidRDefault="003D3E35" w:rsidP="003D3E35">
      <w:pPr>
        <w:rPr>
          <w:rFonts w:asciiTheme="majorHAnsi" w:hAnsiTheme="majorHAnsi" w:cstheme="majorHAnsi"/>
          <w:color w:val="000000" w:themeColor="text1"/>
        </w:rPr>
      </w:pPr>
    </w:p>
    <w:p w14:paraId="6E424CD8" w14:textId="77777777" w:rsidR="003D3E35" w:rsidRPr="00135391" w:rsidRDefault="003D3E35" w:rsidP="003D3E35">
      <w:pPr>
        <w:rPr>
          <w:rFonts w:asciiTheme="majorHAnsi" w:hAnsiTheme="majorHAnsi" w:cstheme="majorHAnsi"/>
          <w:color w:val="000000" w:themeColor="text1"/>
        </w:rPr>
      </w:pPr>
      <w:r w:rsidRPr="003D3E35">
        <w:rPr>
          <w:rFonts w:asciiTheme="majorHAnsi" w:hAnsiTheme="majorHAnsi" w:cstheme="majorHAnsi"/>
          <w:color w:val="000000" w:themeColor="text1"/>
        </w:rPr>
        <w:t xml:space="preserve">De Aanbestedende Dienst wenst dat leveringen worden uitgevoerd door een vaste vervoerder en dat de </w:t>
      </w:r>
      <w:proofErr w:type="gramStart"/>
      <w:r w:rsidRPr="003D3E35">
        <w:rPr>
          <w:rFonts w:asciiTheme="majorHAnsi" w:hAnsiTheme="majorHAnsi" w:cstheme="majorHAnsi"/>
          <w:color w:val="000000" w:themeColor="text1"/>
        </w:rPr>
        <w:t>levering</w:t>
      </w:r>
      <w:proofErr w:type="gramEnd"/>
      <w:r w:rsidRPr="003D3E35">
        <w:rPr>
          <w:rFonts w:asciiTheme="majorHAnsi" w:hAnsiTheme="majorHAnsi" w:cstheme="majorHAnsi"/>
          <w:color w:val="000000" w:themeColor="text1"/>
        </w:rPr>
        <w:t xml:space="preserve"> van het lesmateriaal plaatsvindt op één vaste dag en/of één vast tijdstip in de week. Bestellingen dienen in één keer geleverd te worden en daarmee dus niet per bestelling verspreid over meerdere leveringen en/of dozen. Tevens dient er door inschrijver een interne controle plaats te vinden vóór een levering de deur uit gaat. Dit ter voorkoming van foutieve/ niet complete levering.</w:t>
      </w:r>
      <w:r>
        <w:rPr>
          <w:rFonts w:asciiTheme="majorHAnsi" w:hAnsiTheme="majorHAnsi" w:cstheme="majorHAnsi"/>
          <w:color w:val="000000" w:themeColor="text1"/>
        </w:rPr>
        <w:t xml:space="preserve"> </w:t>
      </w:r>
    </w:p>
    <w:p w14:paraId="008AF655" w14:textId="77777777" w:rsidR="003D3E35" w:rsidRPr="00006F43" w:rsidRDefault="003D3E35" w:rsidP="003D3E35">
      <w:pPr>
        <w:pStyle w:val="Kop1"/>
      </w:pPr>
      <w:bookmarkStart w:id="8" w:name="_Toc167782758"/>
      <w:r w:rsidRPr="001B6FD4">
        <w:t>6.8 Levertijd</w:t>
      </w:r>
      <w:bookmarkEnd w:id="8"/>
    </w:p>
    <w:p w14:paraId="6E18C8A8" w14:textId="77777777" w:rsidR="003D3E35" w:rsidRPr="00006F43" w:rsidRDefault="003D3E35" w:rsidP="003D3E35">
      <w:pPr>
        <w:rPr>
          <w:rFonts w:asciiTheme="majorHAnsi" w:hAnsiTheme="majorHAnsi"/>
        </w:rPr>
      </w:pPr>
      <w:r w:rsidRPr="00006F43">
        <w:rPr>
          <w:rFonts w:asciiTheme="majorHAnsi" w:hAnsiTheme="majorHAnsi"/>
        </w:rPr>
        <w:t xml:space="preserve">De levertijd van methode gebonden duurzame gebruiksmaterialen (leerboeken, handleidingen, etc.) en methode gebonden verbruiksmaterialen </w:t>
      </w:r>
      <w:r>
        <w:rPr>
          <w:rFonts w:asciiTheme="majorHAnsi" w:hAnsiTheme="majorHAnsi"/>
        </w:rPr>
        <w:t xml:space="preserve">alsmede het omzetten van een leerpakket naar een ander leerjaar </w:t>
      </w:r>
      <w:r w:rsidRPr="00006F43">
        <w:rPr>
          <w:rFonts w:asciiTheme="majorHAnsi" w:hAnsiTheme="majorHAnsi"/>
        </w:rPr>
        <w:t xml:space="preserve">bedraagt maximaal 5 werkdagen en in het geval van de jaarbestelling maximaal 10 werkdagen na bestelling. </w:t>
      </w:r>
    </w:p>
    <w:p w14:paraId="47D6D48F" w14:textId="77777777" w:rsidR="003D3E35" w:rsidRPr="00006F43" w:rsidRDefault="003D3E35" w:rsidP="003D3E35">
      <w:pPr>
        <w:rPr>
          <w:rFonts w:asciiTheme="majorHAnsi" w:hAnsiTheme="majorHAnsi"/>
        </w:rPr>
      </w:pPr>
    </w:p>
    <w:p w14:paraId="17A55D2D" w14:textId="77777777" w:rsidR="003D3E35" w:rsidRPr="00006F43" w:rsidRDefault="003D3E35" w:rsidP="003D3E35">
      <w:pPr>
        <w:rPr>
          <w:rFonts w:asciiTheme="majorHAnsi" w:hAnsiTheme="majorHAnsi"/>
        </w:rPr>
      </w:pPr>
      <w:r w:rsidRPr="00006F43">
        <w:rPr>
          <w:rFonts w:asciiTheme="majorHAnsi" w:hAnsiTheme="majorHAnsi"/>
        </w:rPr>
        <w:t xml:space="preserve">Spoedbestellingen dienen kosteloos, indien besteld voor 11:00 uur, de volgende werkdag geleverd te worden. </w:t>
      </w:r>
      <w:r w:rsidRPr="00364A62">
        <w:rPr>
          <w:rFonts w:asciiTheme="majorHAnsi" w:hAnsiTheme="majorHAnsi"/>
        </w:rPr>
        <w:t>Maximale</w:t>
      </w:r>
      <w:r w:rsidRPr="00DF5E5F">
        <w:rPr>
          <w:rFonts w:asciiTheme="majorHAnsi" w:hAnsiTheme="majorHAnsi"/>
          <w:color w:val="FF0000"/>
        </w:rPr>
        <w:t xml:space="preserve"> </w:t>
      </w:r>
      <w:r w:rsidRPr="00006F43">
        <w:rPr>
          <w:rFonts w:asciiTheme="majorHAnsi" w:hAnsiTheme="majorHAnsi"/>
        </w:rPr>
        <w:t xml:space="preserve">ordergrootte bedraagt </w:t>
      </w:r>
      <w:r>
        <w:rPr>
          <w:rFonts w:asciiTheme="majorHAnsi" w:hAnsiTheme="majorHAnsi"/>
        </w:rPr>
        <w:t xml:space="preserve">€ </w:t>
      </w:r>
      <w:r w:rsidRPr="00006F43">
        <w:rPr>
          <w:rFonts w:asciiTheme="majorHAnsi" w:hAnsiTheme="majorHAnsi"/>
        </w:rPr>
        <w:t>250</w:t>
      </w:r>
      <w:r>
        <w:rPr>
          <w:rFonts w:asciiTheme="majorHAnsi" w:hAnsiTheme="majorHAnsi"/>
        </w:rPr>
        <w:t>,-</w:t>
      </w:r>
      <w:r w:rsidRPr="00006F43">
        <w:rPr>
          <w:rFonts w:asciiTheme="majorHAnsi" w:hAnsiTheme="majorHAnsi"/>
        </w:rPr>
        <w:t xml:space="preserve">. Maximaal aantal spoedbestellingen bedraagt twee per jaar per school. </w:t>
      </w:r>
    </w:p>
    <w:p w14:paraId="3DF4380D" w14:textId="77777777" w:rsidR="003D3E35" w:rsidRPr="00006F43" w:rsidRDefault="003D3E35" w:rsidP="003D3E35">
      <w:pPr>
        <w:pStyle w:val="Kop1"/>
      </w:pPr>
      <w:bookmarkStart w:id="9" w:name="_Toc167782759"/>
      <w:r w:rsidRPr="001B6FD4">
        <w:lastRenderedPageBreak/>
        <w:t>6.9 (Logistieke) Vergoeding</w:t>
      </w:r>
      <w:bookmarkEnd w:id="9"/>
    </w:p>
    <w:p w14:paraId="5D17271C" w14:textId="77777777" w:rsidR="003D3E35" w:rsidRPr="00006F43" w:rsidRDefault="003D3E35" w:rsidP="003D3E35">
      <w:pPr>
        <w:rPr>
          <w:rFonts w:asciiTheme="majorHAnsi" w:hAnsiTheme="majorHAnsi"/>
        </w:rPr>
      </w:pPr>
      <w:r w:rsidRPr="00006F43">
        <w:rPr>
          <w:rFonts w:asciiTheme="majorHAnsi" w:hAnsiTheme="majorHAnsi"/>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twee keer per jaar een spoedbestelling plaatst. Inschrijver zal in dat geval een logistieke vergoeding in rekening mogen brengen van maximaal </w:t>
      </w:r>
      <w:r>
        <w:rPr>
          <w:rFonts w:asciiTheme="majorHAnsi" w:hAnsiTheme="majorHAnsi"/>
        </w:rPr>
        <w:t xml:space="preserve">€ </w:t>
      </w:r>
      <w:r w:rsidRPr="00006F43">
        <w:rPr>
          <w:rFonts w:asciiTheme="majorHAnsi" w:hAnsiTheme="majorHAnsi"/>
        </w:rPr>
        <w:t>25 ex</w:t>
      </w:r>
      <w:r>
        <w:rPr>
          <w:rFonts w:asciiTheme="majorHAnsi" w:hAnsiTheme="majorHAnsi"/>
        </w:rPr>
        <w:t>cl.</w:t>
      </w:r>
      <w:r w:rsidRPr="00006F43">
        <w:rPr>
          <w:rFonts w:asciiTheme="majorHAnsi" w:hAnsiTheme="majorHAnsi"/>
        </w:rPr>
        <w:t xml:space="preserve"> btw per spoedbestelling. </w:t>
      </w:r>
    </w:p>
    <w:p w14:paraId="5C443596" w14:textId="77777777" w:rsidR="003D3E35" w:rsidRPr="00006F43" w:rsidRDefault="003D3E35" w:rsidP="003D3E35">
      <w:pPr>
        <w:pStyle w:val="Kop1"/>
      </w:pPr>
      <w:bookmarkStart w:id="10" w:name="_Toc167782760"/>
      <w:r w:rsidRPr="001B6FD4">
        <w:t>6.10 Retourprocedure</w:t>
      </w:r>
      <w:bookmarkEnd w:id="10"/>
    </w:p>
    <w:p w14:paraId="3FC8A238" w14:textId="77777777" w:rsidR="003D3E35" w:rsidRPr="003D3E35" w:rsidRDefault="003D3E35" w:rsidP="003D3E35">
      <w:pPr>
        <w:rPr>
          <w:rFonts w:asciiTheme="majorHAnsi" w:hAnsiTheme="majorHAnsi"/>
        </w:rPr>
      </w:pPr>
      <w:r w:rsidRPr="00006F43">
        <w:rPr>
          <w:rFonts w:asciiTheme="majorHAnsi" w:hAnsiTheme="majorHAnsi"/>
        </w:rPr>
        <w:t xml:space="preserve">In geval van een verkeerde levering of wanneer levering mankementen vertoont zal inschrijver binnen vijf </w:t>
      </w:r>
      <w:r w:rsidRPr="003D3E35">
        <w:rPr>
          <w:rFonts w:asciiTheme="majorHAnsi" w:hAnsiTheme="majorHAnsi"/>
        </w:rPr>
        <w:t>werkdagen na levering zorgdragen voor kosteloze (her)levering in het geval de school binnen 10 werkdagen heeft gereclameerd. Dit allen rekening houdend met meerdere vakantieperiodes.</w:t>
      </w:r>
    </w:p>
    <w:p w14:paraId="0F04194F" w14:textId="77777777" w:rsidR="003D3E35" w:rsidRPr="003D3E35" w:rsidRDefault="003D3E35" w:rsidP="003D3E35">
      <w:pPr>
        <w:rPr>
          <w:rFonts w:asciiTheme="majorHAnsi" w:hAnsiTheme="majorHAnsi"/>
        </w:rPr>
      </w:pPr>
    </w:p>
    <w:p w14:paraId="2B4BB2CF" w14:textId="77777777" w:rsidR="003D3E35" w:rsidRPr="003D3E35" w:rsidRDefault="003D3E35" w:rsidP="003D3E35">
      <w:pPr>
        <w:rPr>
          <w:rFonts w:asciiTheme="majorHAnsi" w:hAnsiTheme="majorHAnsi"/>
        </w:rPr>
      </w:pPr>
      <w:r w:rsidRPr="003D3E35">
        <w:rPr>
          <w:rFonts w:asciiTheme="majorHAnsi" w:hAnsiTheme="majorHAnsi"/>
        </w:rPr>
        <w:t>In geval van foutief bestellen door Aanbestedende Dienst mag deze de bestelling kosteloos, en zonder opgaaf van reden, retourneren binnen een termijn van 10 werkdagen na ontvangst levering. Dit allen rekening houdend met meerdere vakantieperiodes. Inschrijver is verantwoordelijk voor het ophalen van de retourzendingen. Retourzendingen dienen binnen twee weken na retourmelding op locatie van de aanbestedende dienst opgehaald te worden.</w:t>
      </w:r>
    </w:p>
    <w:p w14:paraId="12177124" w14:textId="77777777" w:rsidR="003D3E35" w:rsidRPr="003D3E35" w:rsidRDefault="003D3E35" w:rsidP="003D3E35">
      <w:pPr>
        <w:rPr>
          <w:rFonts w:asciiTheme="majorHAnsi" w:hAnsiTheme="majorHAnsi"/>
        </w:rPr>
      </w:pPr>
      <w:r w:rsidRPr="003D3E35">
        <w:rPr>
          <w:rFonts w:asciiTheme="majorHAnsi" w:hAnsiTheme="majorHAnsi"/>
        </w:rPr>
        <w:t>Geleverde artikelen kunnen enkel in nieuwstaat en in de originele verpakking geretourneerd worden.</w:t>
      </w:r>
      <w:bookmarkStart w:id="11" w:name="_Toc167782761"/>
      <w:r w:rsidRPr="003D3E35">
        <w:rPr>
          <w:rFonts w:asciiTheme="majorHAnsi" w:hAnsiTheme="majorHAnsi"/>
        </w:rPr>
        <w:t xml:space="preserve"> Om/</w:t>
      </w:r>
      <w:proofErr w:type="spellStart"/>
      <w:r w:rsidRPr="003D3E35">
        <w:rPr>
          <w:rFonts w:asciiTheme="majorHAnsi" w:hAnsiTheme="majorHAnsi"/>
        </w:rPr>
        <w:t>overdozen</w:t>
      </w:r>
      <w:proofErr w:type="spellEnd"/>
      <w:r w:rsidRPr="003D3E35">
        <w:rPr>
          <w:rFonts w:asciiTheme="majorHAnsi" w:hAnsiTheme="majorHAnsi"/>
        </w:rPr>
        <w:t xml:space="preserve"> behoren niet tot de originele verpakking. Het hergebruik van verpakkingsmateriaal is een pré.</w:t>
      </w:r>
    </w:p>
    <w:p w14:paraId="285C1F90" w14:textId="77777777" w:rsidR="003D3E35" w:rsidRPr="009F7871" w:rsidRDefault="003D3E35" w:rsidP="003D3E35">
      <w:pPr>
        <w:rPr>
          <w:rFonts w:asciiTheme="majorHAnsi" w:hAnsiTheme="majorHAnsi"/>
          <w:highlight w:val="yellow"/>
        </w:rPr>
      </w:pPr>
    </w:p>
    <w:p w14:paraId="7133949A" w14:textId="77777777" w:rsidR="003D3E35" w:rsidRPr="006922AC" w:rsidRDefault="003D3E35" w:rsidP="003D3E35">
      <w:pPr>
        <w:rPr>
          <w:rStyle w:val="Kop1Char"/>
          <w:b w:val="0"/>
          <w:bCs w:val="0"/>
        </w:rPr>
      </w:pPr>
      <w:r w:rsidRPr="003D3E35">
        <w:rPr>
          <w:rFonts w:asciiTheme="majorHAnsi" w:hAnsiTheme="majorHAnsi"/>
        </w:rPr>
        <w:t>Inschrijver is verantwoordelijk voor de kosteloze retourname van lege (kartonnen) dozen horende bij de jaarbestelling. Retourname dient binnen twee weken na levering te gebeuren door inschrijver.</w:t>
      </w:r>
    </w:p>
    <w:p w14:paraId="62D8C81C" w14:textId="77777777" w:rsidR="003D3E35" w:rsidRDefault="003D3E35" w:rsidP="003D3E35">
      <w:pPr>
        <w:rPr>
          <w:rStyle w:val="Kop1Char"/>
        </w:rPr>
      </w:pPr>
    </w:p>
    <w:p w14:paraId="3181D73A" w14:textId="77777777" w:rsidR="003D3E35" w:rsidRDefault="003D3E35" w:rsidP="003D3E35">
      <w:pPr>
        <w:rPr>
          <w:rStyle w:val="Kop1Char"/>
        </w:rPr>
      </w:pPr>
    </w:p>
    <w:p w14:paraId="5D2AABFA" w14:textId="77777777" w:rsidR="003D3E35" w:rsidRPr="00BE1654" w:rsidRDefault="003D3E35" w:rsidP="003D3E35">
      <w:pPr>
        <w:rPr>
          <w:rFonts w:asciiTheme="majorHAnsi" w:hAnsiTheme="majorHAnsi" w:cstheme="majorHAnsi"/>
        </w:rPr>
      </w:pPr>
      <w:r w:rsidRPr="00BE1654">
        <w:rPr>
          <w:rStyle w:val="Kop1Char"/>
        </w:rPr>
        <w:t>6.11 Facturering</w:t>
      </w:r>
      <w:bookmarkEnd w:id="11"/>
      <w:r w:rsidRPr="00BE1654">
        <w:rPr>
          <w:rStyle w:val="Kop1Char"/>
        </w:rPr>
        <w:br/>
      </w:r>
      <w:r w:rsidRPr="00BE1654">
        <w:rPr>
          <w:rFonts w:asciiTheme="majorHAnsi" w:hAnsiTheme="majorHAnsi" w:cstheme="majorHAnsi"/>
        </w:rPr>
        <w:t xml:space="preserve">Inschrijver is in staat om op verzoek van de Aanbestedende Dienst centraal te factureren dan wel decentraal per school te factureren, desgewenst op papier dan wel digitaal. In geval van digitale facturatie is dit mogelijk per PDF dan wel via </w:t>
      </w:r>
      <w:proofErr w:type="spellStart"/>
      <w:r w:rsidRPr="003D3E35">
        <w:rPr>
          <w:rFonts w:asciiTheme="majorHAnsi" w:hAnsiTheme="majorHAnsi" w:cstheme="majorHAnsi"/>
        </w:rPr>
        <w:t>XML-files</w:t>
      </w:r>
      <w:proofErr w:type="spellEnd"/>
      <w:r w:rsidRPr="003D3E35">
        <w:rPr>
          <w:rFonts w:asciiTheme="majorHAnsi" w:hAnsiTheme="majorHAnsi" w:cstheme="majorHAnsi"/>
        </w:rPr>
        <w:t>. Facturering dient per maand te gebeuren.</w:t>
      </w:r>
    </w:p>
    <w:p w14:paraId="491482D7" w14:textId="77777777" w:rsidR="003D3E35" w:rsidRPr="00006F43" w:rsidRDefault="003D3E35" w:rsidP="003D3E35">
      <w:pPr>
        <w:pStyle w:val="Kop1"/>
      </w:pPr>
      <w:bookmarkStart w:id="12" w:name="_Toc167782762"/>
      <w:r w:rsidRPr="001B6FD4">
        <w:t>6.12 Managementinformatie</w:t>
      </w:r>
      <w:bookmarkEnd w:id="12"/>
    </w:p>
    <w:p w14:paraId="32EC56F6" w14:textId="77777777" w:rsidR="003D3E35" w:rsidRPr="00006F43" w:rsidRDefault="003D3E35" w:rsidP="003D3E35">
      <w:pPr>
        <w:rPr>
          <w:rFonts w:asciiTheme="majorHAnsi" w:hAnsiTheme="majorHAnsi"/>
        </w:rPr>
      </w:pPr>
      <w:r w:rsidRPr="00435269">
        <w:rPr>
          <w:rFonts w:asciiTheme="majorHAnsi" w:hAnsiTheme="majorHAnsi"/>
        </w:rPr>
        <w:t xml:space="preserve">Inschrijver </w:t>
      </w:r>
      <w:r>
        <w:rPr>
          <w:rFonts w:asciiTheme="majorHAnsi" w:hAnsiTheme="majorHAnsi"/>
        </w:rPr>
        <w:t>levert op</w:t>
      </w:r>
      <w:r w:rsidRPr="00435269">
        <w:rPr>
          <w:rFonts w:asciiTheme="majorHAnsi" w:hAnsiTheme="majorHAnsi"/>
        </w:rPr>
        <w:t xml:space="preserve"> verzoek van de Aanbestedende Dienst, twee keer per jaar</w:t>
      </w:r>
      <w:r>
        <w:rPr>
          <w:rFonts w:asciiTheme="majorHAnsi" w:hAnsiTheme="majorHAnsi"/>
        </w:rPr>
        <w:t xml:space="preserve"> </w:t>
      </w:r>
      <w:r w:rsidRPr="00435269">
        <w:rPr>
          <w:rFonts w:asciiTheme="majorHAnsi" w:hAnsiTheme="majorHAnsi"/>
        </w:rPr>
        <w:t xml:space="preserve">kosteloos managementinformatie </w:t>
      </w:r>
      <w:r>
        <w:rPr>
          <w:rFonts w:asciiTheme="majorHAnsi" w:hAnsiTheme="majorHAnsi"/>
        </w:rPr>
        <w:t>aan</w:t>
      </w:r>
      <w:r w:rsidRPr="00006F43">
        <w:rPr>
          <w:rFonts w:asciiTheme="majorHAnsi" w:hAnsiTheme="majorHAnsi"/>
        </w:rPr>
        <w:t xml:space="preserve"> op schoolniveau en bestuursniveau. </w:t>
      </w:r>
    </w:p>
    <w:p w14:paraId="2FD0E194" w14:textId="77777777" w:rsidR="003D3E35" w:rsidRPr="00006F43" w:rsidRDefault="003D3E35" w:rsidP="003D3E35">
      <w:pPr>
        <w:rPr>
          <w:rFonts w:asciiTheme="majorHAnsi" w:hAnsiTheme="majorHAnsi"/>
        </w:rPr>
      </w:pPr>
    </w:p>
    <w:p w14:paraId="7B6AA5CE" w14:textId="77777777" w:rsidR="003D3E35" w:rsidRPr="00006F43" w:rsidRDefault="003D3E35" w:rsidP="003D3E35">
      <w:pPr>
        <w:rPr>
          <w:rFonts w:asciiTheme="majorHAnsi" w:hAnsiTheme="majorHAnsi"/>
        </w:rPr>
      </w:pPr>
      <w:r w:rsidRPr="00006F43">
        <w:rPr>
          <w:rFonts w:asciiTheme="majorHAnsi" w:hAnsiTheme="majorHAnsi"/>
        </w:rPr>
        <w:t>De rapportage dient minimaal de volgende gegevens te bevatten:</w:t>
      </w:r>
    </w:p>
    <w:p w14:paraId="4567D522" w14:textId="77777777" w:rsidR="003D3E35" w:rsidRPr="00006F43" w:rsidRDefault="003D3E35" w:rsidP="003D3E35">
      <w:pPr>
        <w:rPr>
          <w:rFonts w:asciiTheme="majorHAnsi" w:hAnsiTheme="majorHAnsi"/>
        </w:rPr>
      </w:pPr>
    </w:p>
    <w:p w14:paraId="3B685896" w14:textId="77777777" w:rsidR="003D3E35" w:rsidRPr="00006F43" w:rsidRDefault="003D3E35" w:rsidP="003D3E35">
      <w:pPr>
        <w:pStyle w:val="Lijstalinea"/>
        <w:numPr>
          <w:ilvl w:val="0"/>
          <w:numId w:val="10"/>
        </w:numPr>
        <w:rPr>
          <w:rFonts w:asciiTheme="majorHAnsi" w:hAnsiTheme="majorHAnsi"/>
        </w:rPr>
      </w:pPr>
      <w:r w:rsidRPr="00006F43">
        <w:rPr>
          <w:rFonts w:asciiTheme="majorHAnsi" w:hAnsiTheme="majorHAnsi"/>
        </w:rPr>
        <w:t>Overzicht van geleverde artikelen inclusief afleverdatum en prijs per school.</w:t>
      </w:r>
    </w:p>
    <w:p w14:paraId="2D1B472A" w14:textId="77777777" w:rsidR="003D3E35" w:rsidRPr="00006F43" w:rsidRDefault="003D3E35" w:rsidP="003D3E35">
      <w:pPr>
        <w:pStyle w:val="Lijstalinea"/>
        <w:numPr>
          <w:ilvl w:val="0"/>
          <w:numId w:val="10"/>
        </w:numPr>
        <w:rPr>
          <w:rFonts w:asciiTheme="majorHAnsi" w:hAnsiTheme="majorHAnsi"/>
        </w:rPr>
      </w:pPr>
      <w:r w:rsidRPr="00006F43">
        <w:rPr>
          <w:rFonts w:asciiTheme="majorHAnsi" w:hAnsiTheme="majorHAnsi"/>
        </w:rPr>
        <w:t>Overzicht van brutoprijzen, kortingen, nettoprijzen van geleverde artikelen per school.</w:t>
      </w:r>
    </w:p>
    <w:p w14:paraId="0A85D37A" w14:textId="77777777" w:rsidR="003D3E35" w:rsidRPr="00006F43" w:rsidRDefault="003D3E35" w:rsidP="003D3E35">
      <w:pPr>
        <w:pStyle w:val="Lijstalinea"/>
        <w:numPr>
          <w:ilvl w:val="0"/>
          <w:numId w:val="10"/>
        </w:numPr>
        <w:rPr>
          <w:rFonts w:asciiTheme="majorHAnsi" w:hAnsiTheme="majorHAnsi"/>
        </w:rPr>
      </w:pPr>
      <w:r w:rsidRPr="00006F43">
        <w:rPr>
          <w:rFonts w:asciiTheme="majorHAnsi" w:hAnsiTheme="majorHAnsi"/>
        </w:rPr>
        <w:t>Overzicht van omzetten per school.</w:t>
      </w:r>
    </w:p>
    <w:p w14:paraId="4B0EB228" w14:textId="77777777" w:rsidR="003D3E35" w:rsidRPr="00006F43" w:rsidRDefault="003D3E35" w:rsidP="003D3E35">
      <w:pPr>
        <w:pStyle w:val="Lijstalinea"/>
        <w:numPr>
          <w:ilvl w:val="0"/>
          <w:numId w:val="10"/>
        </w:numPr>
        <w:rPr>
          <w:rFonts w:asciiTheme="majorHAnsi" w:hAnsiTheme="majorHAnsi"/>
        </w:rPr>
      </w:pPr>
      <w:r w:rsidRPr="00006F43">
        <w:rPr>
          <w:rFonts w:asciiTheme="majorHAnsi" w:hAnsiTheme="majorHAnsi"/>
        </w:rPr>
        <w:t>Overzicht van omzet totaal Aanbestedende Dienst.</w:t>
      </w:r>
    </w:p>
    <w:p w14:paraId="0DD58346" w14:textId="77777777" w:rsidR="003D3E35" w:rsidRDefault="003D3E35" w:rsidP="003D3E35">
      <w:pPr>
        <w:pStyle w:val="Lijstalinea"/>
        <w:numPr>
          <w:ilvl w:val="0"/>
          <w:numId w:val="10"/>
        </w:numPr>
        <w:rPr>
          <w:rFonts w:asciiTheme="majorHAnsi" w:hAnsiTheme="majorHAnsi"/>
        </w:rPr>
      </w:pPr>
      <w:r w:rsidRPr="00006F43">
        <w:rPr>
          <w:rFonts w:asciiTheme="majorHAnsi" w:hAnsiTheme="majorHAnsi"/>
        </w:rPr>
        <w:t>Overzicht facturatie en betalingen.</w:t>
      </w:r>
    </w:p>
    <w:p w14:paraId="5319C6A1" w14:textId="77777777" w:rsidR="003D3E35" w:rsidRDefault="003D3E35" w:rsidP="003D3E35">
      <w:pPr>
        <w:rPr>
          <w:rFonts w:asciiTheme="majorHAnsi" w:hAnsiTheme="majorHAnsi"/>
        </w:rPr>
      </w:pPr>
    </w:p>
    <w:p w14:paraId="1EE60327" w14:textId="77777777" w:rsidR="003D3E35" w:rsidRDefault="003D3E35" w:rsidP="003D3E35">
      <w:pPr>
        <w:rPr>
          <w:rFonts w:asciiTheme="majorHAnsi" w:hAnsiTheme="majorHAnsi"/>
        </w:rPr>
      </w:pPr>
      <w:r w:rsidRPr="00B214C3">
        <w:rPr>
          <w:rFonts w:asciiTheme="majorHAnsi" w:hAnsiTheme="majorHAnsi"/>
        </w:rPr>
        <w:t xml:space="preserve">Inschrijver levert jaarlijks in januari managementinformatie betreffende het gehele voorgaande jaar aan </w:t>
      </w:r>
      <w:r>
        <w:rPr>
          <w:rFonts w:asciiTheme="majorHAnsi" w:hAnsiTheme="majorHAnsi"/>
        </w:rPr>
        <w:t xml:space="preserve">zowel </w:t>
      </w:r>
      <w:r w:rsidRPr="00B214C3">
        <w:rPr>
          <w:rFonts w:asciiTheme="majorHAnsi" w:hAnsiTheme="majorHAnsi"/>
        </w:rPr>
        <w:t xml:space="preserve">de </w:t>
      </w:r>
      <w:r>
        <w:rPr>
          <w:rFonts w:asciiTheme="majorHAnsi" w:hAnsiTheme="majorHAnsi"/>
        </w:rPr>
        <w:t>A</w:t>
      </w:r>
      <w:r w:rsidRPr="00B214C3">
        <w:rPr>
          <w:rFonts w:asciiTheme="majorHAnsi" w:hAnsiTheme="majorHAnsi"/>
        </w:rPr>
        <w:t xml:space="preserve">anbestedende </w:t>
      </w:r>
      <w:r>
        <w:rPr>
          <w:rFonts w:asciiTheme="majorHAnsi" w:hAnsiTheme="majorHAnsi"/>
        </w:rPr>
        <w:t>D</w:t>
      </w:r>
      <w:r w:rsidRPr="00B214C3">
        <w:rPr>
          <w:rFonts w:asciiTheme="majorHAnsi" w:hAnsiTheme="majorHAnsi"/>
        </w:rPr>
        <w:t>ienst</w:t>
      </w:r>
      <w:r>
        <w:rPr>
          <w:rFonts w:asciiTheme="majorHAnsi" w:hAnsiTheme="majorHAnsi"/>
        </w:rPr>
        <w:t xml:space="preserve"> als de Onderwijs Inkoop Groep</w:t>
      </w:r>
      <w:r w:rsidRPr="00B214C3">
        <w:rPr>
          <w:rFonts w:asciiTheme="majorHAnsi" w:hAnsiTheme="majorHAnsi"/>
        </w:rPr>
        <w:t>. Het betreft de volgende informatie:</w:t>
      </w:r>
    </w:p>
    <w:p w14:paraId="7913C1E3" w14:textId="77777777" w:rsidR="003D3E35" w:rsidRDefault="003D3E35" w:rsidP="003D3E35">
      <w:pPr>
        <w:rPr>
          <w:rFonts w:asciiTheme="majorHAnsi" w:hAnsiTheme="majorHAnsi"/>
        </w:rPr>
      </w:pPr>
    </w:p>
    <w:p w14:paraId="06020FB0" w14:textId="77777777" w:rsidR="003D3E35" w:rsidRPr="00A658E1" w:rsidRDefault="003D3E35" w:rsidP="003D3E35">
      <w:pPr>
        <w:pStyle w:val="Lijstalinea"/>
        <w:numPr>
          <w:ilvl w:val="0"/>
          <w:numId w:val="12"/>
        </w:numPr>
        <w:rPr>
          <w:rFonts w:asciiTheme="majorHAnsi" w:hAnsiTheme="majorHAnsi"/>
        </w:rPr>
      </w:pPr>
      <w:r w:rsidRPr="00B214C3">
        <w:rPr>
          <w:rFonts w:asciiTheme="majorHAnsi" w:hAnsiTheme="majorHAnsi"/>
        </w:rPr>
        <w:lastRenderedPageBreak/>
        <w:t> Overzicht van de totale omzet incl. btw per school per categorie (methodisch materiaal, software, leerpakketten).</w:t>
      </w:r>
    </w:p>
    <w:p w14:paraId="18208DE9" w14:textId="77777777" w:rsidR="003D3E35" w:rsidRPr="00006F43" w:rsidRDefault="003D3E35" w:rsidP="003D3E35">
      <w:pPr>
        <w:pStyle w:val="Kop1"/>
      </w:pPr>
      <w:bookmarkStart w:id="13" w:name="_Toc167782763"/>
      <w:r w:rsidRPr="001B6FD4">
        <w:t>6.13 Afnameverplichting</w:t>
      </w:r>
      <w:bookmarkEnd w:id="13"/>
    </w:p>
    <w:p w14:paraId="33F0D540" w14:textId="77777777" w:rsidR="003D3E35" w:rsidRPr="00006F43" w:rsidRDefault="003D3E35" w:rsidP="003D3E35">
      <w:pPr>
        <w:rPr>
          <w:rFonts w:asciiTheme="majorHAnsi" w:hAnsiTheme="majorHAnsi"/>
        </w:rPr>
      </w:pPr>
      <w:r w:rsidRPr="00006F43">
        <w:rPr>
          <w:rFonts w:asciiTheme="majorHAnsi" w:hAnsiTheme="majorHAnsi"/>
        </w:rPr>
        <w:t xml:space="preserve">De te sluiten raamovereenkomst houdt niet in dat de </w:t>
      </w:r>
      <w:r>
        <w:rPr>
          <w:rFonts w:asciiTheme="majorHAnsi" w:hAnsiTheme="majorHAnsi"/>
        </w:rPr>
        <w:t>A</w:t>
      </w:r>
      <w:r w:rsidRPr="00006F43">
        <w:rPr>
          <w:rFonts w:asciiTheme="majorHAnsi" w:hAnsiTheme="majorHAnsi"/>
        </w:rPr>
        <w:t xml:space="preserve">anbestedende </w:t>
      </w:r>
      <w:r>
        <w:rPr>
          <w:rFonts w:asciiTheme="majorHAnsi" w:hAnsiTheme="majorHAnsi"/>
        </w:rPr>
        <w:t>D</w:t>
      </w:r>
      <w:r w:rsidRPr="00006F43">
        <w:rPr>
          <w:rFonts w:asciiTheme="majorHAnsi" w:hAnsiTheme="majorHAnsi"/>
        </w:rPr>
        <w:t xml:space="preserve">ienst een afnameverplichting heeft tot afname van de historische omzet. De </w:t>
      </w:r>
      <w:r>
        <w:rPr>
          <w:rFonts w:asciiTheme="majorHAnsi" w:hAnsiTheme="majorHAnsi"/>
        </w:rPr>
        <w:t>A</w:t>
      </w:r>
      <w:r w:rsidRPr="00006F43">
        <w:rPr>
          <w:rFonts w:asciiTheme="majorHAnsi" w:hAnsiTheme="majorHAnsi"/>
        </w:rPr>
        <w:t xml:space="preserve">anbestedende </w:t>
      </w:r>
      <w:r>
        <w:rPr>
          <w:rFonts w:asciiTheme="majorHAnsi" w:hAnsiTheme="majorHAnsi"/>
        </w:rPr>
        <w:t>D</w:t>
      </w:r>
      <w:r w:rsidRPr="00006F43">
        <w:rPr>
          <w:rFonts w:asciiTheme="majorHAnsi" w:hAnsiTheme="majorHAnsi"/>
        </w:rPr>
        <w:t>ienst zal wel alle bestellingen exclusief bij de raamcontractant doen.</w:t>
      </w:r>
    </w:p>
    <w:p w14:paraId="3931B52B" w14:textId="77777777" w:rsidR="003D3E35" w:rsidRPr="00006F43" w:rsidRDefault="003D3E35" w:rsidP="003D3E35">
      <w:pPr>
        <w:rPr>
          <w:rFonts w:asciiTheme="majorHAnsi" w:hAnsiTheme="majorHAnsi"/>
        </w:rPr>
      </w:pPr>
    </w:p>
    <w:p w14:paraId="42FFFFF2" w14:textId="77777777" w:rsidR="003D3E35" w:rsidRDefault="003D3E35" w:rsidP="003D3E35">
      <w:pPr>
        <w:rPr>
          <w:rFonts w:asciiTheme="majorHAnsi" w:hAnsiTheme="majorHAnsi"/>
        </w:rPr>
      </w:pPr>
      <w:r w:rsidRPr="00006F43">
        <w:rPr>
          <w:rFonts w:asciiTheme="majorHAnsi" w:hAnsiTheme="majorHAnsi"/>
        </w:rPr>
        <w:t xml:space="preserve">Het staat de </w:t>
      </w:r>
      <w:r>
        <w:rPr>
          <w:rFonts w:asciiTheme="majorHAnsi" w:hAnsiTheme="majorHAnsi"/>
        </w:rPr>
        <w:t>A</w:t>
      </w:r>
      <w:r w:rsidRPr="00006F43">
        <w:rPr>
          <w:rFonts w:asciiTheme="majorHAnsi" w:hAnsiTheme="majorHAnsi"/>
        </w:rPr>
        <w:t xml:space="preserve">anbestedende </w:t>
      </w:r>
      <w:r>
        <w:rPr>
          <w:rFonts w:asciiTheme="majorHAnsi" w:hAnsiTheme="majorHAnsi"/>
        </w:rPr>
        <w:t>D</w:t>
      </w:r>
      <w:r w:rsidRPr="00006F43">
        <w:rPr>
          <w:rFonts w:asciiTheme="majorHAnsi" w:hAnsiTheme="majorHAnsi"/>
        </w:rPr>
        <w:t>ienst echter vrij om een bestelling te plaatsen bij een derde partij indien de opdrachtnemer niet kan voldoen aan de minimaal gestelde eisen in deze overeenkomst</w:t>
      </w:r>
      <w:r>
        <w:rPr>
          <w:rFonts w:asciiTheme="majorHAnsi" w:hAnsiTheme="majorHAnsi"/>
        </w:rPr>
        <w:t xml:space="preserve">, indien inschrijver het betreffende product niet in het assortiment heeft, </w:t>
      </w:r>
      <w:r w:rsidRPr="00006F43">
        <w:rPr>
          <w:rFonts w:asciiTheme="majorHAnsi" w:hAnsiTheme="majorHAnsi"/>
        </w:rPr>
        <w:t xml:space="preserve">dan wel indien de inschrijver niet kan leveren binnen de gestelde leveringstermijn. </w:t>
      </w:r>
    </w:p>
    <w:p w14:paraId="720AD222" w14:textId="77777777" w:rsidR="003D3E35" w:rsidRPr="00006F43" w:rsidRDefault="003D3E35" w:rsidP="003D3E35">
      <w:pPr>
        <w:pStyle w:val="Kop1"/>
      </w:pPr>
      <w:bookmarkStart w:id="14" w:name="_Toc167782764"/>
      <w:r w:rsidRPr="001B6FD4">
        <w:t>6.14 Gestanddoeningstermijn</w:t>
      </w:r>
      <w:bookmarkEnd w:id="14"/>
    </w:p>
    <w:p w14:paraId="242C5FC9" w14:textId="77777777" w:rsidR="003D3E35" w:rsidRPr="00006F43" w:rsidRDefault="003D3E35" w:rsidP="003D3E35">
      <w:pPr>
        <w:rPr>
          <w:rFonts w:asciiTheme="majorHAnsi" w:hAnsiTheme="majorHAnsi"/>
        </w:rPr>
      </w:pPr>
      <w:r>
        <w:rPr>
          <w:rFonts w:asciiTheme="majorHAnsi" w:hAnsiTheme="majorHAnsi"/>
        </w:rPr>
        <w:t>De gestanddoeningstermijn bedraagt minimaal 90 dagen.</w:t>
      </w:r>
    </w:p>
    <w:p w14:paraId="55635831" w14:textId="77777777" w:rsidR="003D3E35" w:rsidRDefault="003D3E35" w:rsidP="003D3E35">
      <w:pPr>
        <w:rPr>
          <w:rFonts w:asciiTheme="majorHAnsi" w:hAnsiTheme="majorHAnsi"/>
        </w:rPr>
      </w:pPr>
    </w:p>
    <w:p w14:paraId="5F3B3627" w14:textId="77777777" w:rsidR="003D3E35" w:rsidRPr="00006F43" w:rsidRDefault="003D3E35" w:rsidP="003D3E35">
      <w:pPr>
        <w:rPr>
          <w:rFonts w:asciiTheme="majorHAnsi" w:hAnsiTheme="majorHAnsi"/>
        </w:rPr>
      </w:pPr>
      <w:r w:rsidRPr="00006F43">
        <w:rPr>
          <w:rFonts w:asciiTheme="majorHAnsi" w:hAnsiTheme="majorHAnsi"/>
        </w:rPr>
        <w:t xml:space="preserve">In het geval een kort geding aanhangig is gemaakt, eindigt de termijn van gestanddoening 90 dagen na de dag waarop in eerste aanleg is beslist. </w:t>
      </w:r>
    </w:p>
    <w:p w14:paraId="7D9954A6" w14:textId="77777777" w:rsidR="003D3E35" w:rsidRPr="00C67362" w:rsidRDefault="003D3E35" w:rsidP="003D3E35">
      <w:pPr>
        <w:pStyle w:val="Kop1"/>
      </w:pPr>
      <w:bookmarkStart w:id="15" w:name="_Toc167782765"/>
      <w:r w:rsidRPr="001B6FD4">
        <w:t>6.15 Raamovereenkomst</w:t>
      </w:r>
      <w:bookmarkEnd w:id="15"/>
    </w:p>
    <w:p w14:paraId="7E516660" w14:textId="77777777" w:rsidR="003D3E35" w:rsidRPr="00C67362" w:rsidRDefault="003D3E35" w:rsidP="003D3E35">
      <w:pPr>
        <w:rPr>
          <w:rFonts w:asciiTheme="majorHAnsi" w:hAnsiTheme="majorHAnsi"/>
        </w:rPr>
      </w:pPr>
      <w:r w:rsidRPr="00C67362">
        <w:rPr>
          <w:rFonts w:asciiTheme="majorHAnsi" w:hAnsiTheme="majorHAnsi"/>
        </w:rPr>
        <w:t xml:space="preserve">Inschrijver is gehouden aan de voorgestelde raamovereenkomst welke als bijlage bij dit aanbestedingsdocument is opgenomen. </w:t>
      </w:r>
    </w:p>
    <w:p w14:paraId="13D17DAB" w14:textId="77777777" w:rsidR="003D3E35" w:rsidRPr="001B6FD4" w:rsidRDefault="003D3E35" w:rsidP="003D3E35">
      <w:pPr>
        <w:pStyle w:val="Kop1"/>
      </w:pPr>
      <w:bookmarkStart w:id="16" w:name="_Toc167782766"/>
      <w:r w:rsidRPr="001B6FD4">
        <w:t>6.16 Leveringsvoorwaarden</w:t>
      </w:r>
      <w:bookmarkEnd w:id="16"/>
    </w:p>
    <w:p w14:paraId="66CEC849" w14:textId="77777777" w:rsidR="003D3E35" w:rsidRPr="00C67362" w:rsidRDefault="003D3E35" w:rsidP="003D3E35">
      <w:pPr>
        <w:rPr>
          <w:rFonts w:asciiTheme="majorHAnsi" w:hAnsiTheme="majorHAnsi"/>
        </w:rPr>
      </w:pPr>
      <w:r w:rsidRPr="00C67362">
        <w:rPr>
          <w:rFonts w:asciiTheme="majorHAnsi" w:hAnsiTheme="majorHAnsi"/>
        </w:rPr>
        <w:t xml:space="preserve">De algemene leveringsvoorwaarden en andere voorwaarden van de </w:t>
      </w:r>
      <w:r>
        <w:rPr>
          <w:rFonts w:asciiTheme="majorHAnsi" w:hAnsiTheme="majorHAnsi"/>
        </w:rPr>
        <w:t>i</w:t>
      </w:r>
      <w:r w:rsidRPr="00C67362">
        <w:rPr>
          <w:rFonts w:asciiTheme="majorHAnsi" w:hAnsiTheme="majorHAnsi"/>
        </w:rPr>
        <w:t xml:space="preserve">nschrijver zijn expliciet uitgesloten. Van toepassing verklaring van eigen algemene voorwaarden dan wel andere algemene voorwaarden, maakt de </w:t>
      </w:r>
      <w:r>
        <w:rPr>
          <w:rFonts w:asciiTheme="majorHAnsi" w:hAnsiTheme="majorHAnsi"/>
        </w:rPr>
        <w:t>i</w:t>
      </w:r>
      <w:r w:rsidRPr="00C67362">
        <w:rPr>
          <w:rFonts w:asciiTheme="majorHAnsi" w:hAnsiTheme="majorHAnsi"/>
        </w:rPr>
        <w:t>nschrijving ongeldig.</w:t>
      </w:r>
    </w:p>
    <w:p w14:paraId="25E67715" w14:textId="77777777" w:rsidR="003D3E35" w:rsidRPr="00006F43" w:rsidRDefault="003D3E35" w:rsidP="003D3E35">
      <w:pPr>
        <w:pStyle w:val="Kop1"/>
      </w:pPr>
      <w:bookmarkStart w:id="17" w:name="_Toc167782767"/>
      <w:r w:rsidRPr="001B6FD4">
        <w:t>6.17 Bedrijfsaansprakelijkheidsverzekering</w:t>
      </w:r>
      <w:bookmarkEnd w:id="17"/>
    </w:p>
    <w:p w14:paraId="15731CF3" w14:textId="77777777" w:rsidR="003D3E35" w:rsidRDefault="003D3E35" w:rsidP="003D3E35">
      <w:pPr>
        <w:rPr>
          <w:rFonts w:asciiTheme="majorHAnsi" w:hAnsiTheme="majorHAnsi"/>
        </w:rPr>
      </w:pPr>
      <w:r w:rsidRPr="00006F43">
        <w:rPr>
          <w:rFonts w:asciiTheme="majorHAnsi" w:hAnsiTheme="majorHAnsi"/>
        </w:rPr>
        <w:t>Inschrijver verklaart het risico van bedrijfsaansprakelijkheid te hebben verzekerd.</w:t>
      </w:r>
    </w:p>
    <w:p w14:paraId="7C2A5237" w14:textId="77777777" w:rsidR="003D3E35" w:rsidRDefault="003D3E35" w:rsidP="003D3E35">
      <w:pPr>
        <w:rPr>
          <w:rFonts w:asciiTheme="majorHAnsi" w:hAnsiTheme="majorHAnsi"/>
        </w:rPr>
      </w:pPr>
    </w:p>
    <w:p w14:paraId="7EA1142B" w14:textId="77777777" w:rsidR="003D3E35" w:rsidRPr="000B4B7D" w:rsidRDefault="003D3E35" w:rsidP="003D3E35">
      <w:pPr>
        <w:rPr>
          <w:rFonts w:asciiTheme="majorHAnsi" w:hAnsiTheme="majorHAnsi"/>
        </w:rPr>
      </w:pPr>
      <w:r w:rsidRPr="000B4B7D">
        <w:rPr>
          <w:rFonts w:asciiTheme="majorHAnsi" w:hAnsiTheme="majorHAnsi"/>
          <w:b/>
          <w:bCs/>
        </w:rPr>
        <w:t>6.18 Boeteclausules en Ontbindingsfactoren</w:t>
      </w:r>
    </w:p>
    <w:p w14:paraId="048FB022" w14:textId="77777777" w:rsidR="003D3E35" w:rsidRPr="000B4B7D" w:rsidRDefault="003D3E35" w:rsidP="003D3E35">
      <w:pPr>
        <w:rPr>
          <w:rFonts w:asciiTheme="majorHAnsi" w:hAnsiTheme="majorHAnsi"/>
        </w:rPr>
      </w:pPr>
      <w:r w:rsidRPr="000B4B7D">
        <w:rPr>
          <w:rFonts w:asciiTheme="majorHAnsi" w:hAnsiTheme="majorHAnsi"/>
          <w:b/>
          <w:bCs/>
        </w:rPr>
        <w:t>6.18.1 Boeteclausules</w:t>
      </w:r>
    </w:p>
    <w:p w14:paraId="1764BB3B" w14:textId="77777777" w:rsidR="003D3E35" w:rsidRPr="000B4B7D" w:rsidRDefault="003D3E35" w:rsidP="003D3E35">
      <w:pPr>
        <w:rPr>
          <w:rFonts w:asciiTheme="majorHAnsi" w:hAnsiTheme="majorHAnsi"/>
        </w:rPr>
      </w:pPr>
      <w:r w:rsidRPr="000B4B7D">
        <w:rPr>
          <w:rFonts w:asciiTheme="majorHAnsi" w:hAnsiTheme="majorHAnsi"/>
        </w:rPr>
        <w:t>Indien de leverancier niet voldoet aan de verplichtingen zoals vastgelegd in</w:t>
      </w:r>
      <w:r w:rsidRPr="00F235C3">
        <w:rPr>
          <w:rFonts w:asciiTheme="majorHAnsi" w:hAnsiTheme="majorHAnsi"/>
        </w:rPr>
        <w:t xml:space="preserve"> het programma van eisen </w:t>
      </w:r>
      <w:r w:rsidRPr="000B4B7D">
        <w:rPr>
          <w:rFonts w:asciiTheme="majorHAnsi" w:hAnsiTheme="majorHAnsi"/>
        </w:rPr>
        <w:t>kan de Aanbestedende Dienst boetes opleggen volgens de volgende bepalingen:</w:t>
      </w:r>
    </w:p>
    <w:p w14:paraId="0E6F86BA" w14:textId="77777777" w:rsidR="003D3E35" w:rsidRPr="000B4B7D" w:rsidRDefault="003D3E35" w:rsidP="003D3E35">
      <w:pPr>
        <w:numPr>
          <w:ilvl w:val="0"/>
          <w:numId w:val="14"/>
        </w:numPr>
        <w:rPr>
          <w:rFonts w:asciiTheme="majorHAnsi" w:hAnsiTheme="majorHAnsi"/>
        </w:rPr>
      </w:pPr>
      <w:r w:rsidRPr="000B4B7D">
        <w:rPr>
          <w:rFonts w:asciiTheme="majorHAnsi" w:hAnsiTheme="majorHAnsi"/>
          <w:b/>
          <w:bCs/>
        </w:rPr>
        <w:t>Niet-tijdige Levering</w:t>
      </w:r>
      <w:r w:rsidRPr="000B4B7D">
        <w:rPr>
          <w:rFonts w:asciiTheme="majorHAnsi" w:hAnsiTheme="majorHAnsi"/>
        </w:rPr>
        <w:t xml:space="preserve">: Indien de leverancier niet binnen de overeengekomen levertijden levert zoals vastgelegd in artikel 6.8, wordt een boete opgelegd </w:t>
      </w:r>
      <w:r w:rsidRPr="003D3E35">
        <w:rPr>
          <w:rFonts w:asciiTheme="majorHAnsi" w:hAnsiTheme="majorHAnsi"/>
        </w:rPr>
        <w:t xml:space="preserve">van </w:t>
      </w:r>
      <w:r w:rsidRPr="003D3E35">
        <w:rPr>
          <w:rFonts w:asciiTheme="majorHAnsi" w:hAnsiTheme="majorHAnsi"/>
          <w:color w:val="000000" w:themeColor="text1"/>
        </w:rPr>
        <w:t xml:space="preserve">€100 </w:t>
      </w:r>
      <w:r w:rsidRPr="003D3E35">
        <w:rPr>
          <w:rFonts w:asciiTheme="majorHAnsi" w:hAnsiTheme="majorHAnsi"/>
        </w:rPr>
        <w:t>van de</w:t>
      </w:r>
      <w:r w:rsidRPr="000B4B7D">
        <w:rPr>
          <w:rFonts w:asciiTheme="majorHAnsi" w:hAnsiTheme="majorHAnsi"/>
        </w:rPr>
        <w:t xml:space="preserve"> orderwaarde per werkdag dat de levering te laat is, met een maximum van</w:t>
      </w:r>
      <w:r w:rsidRPr="00F235C3">
        <w:rPr>
          <w:rFonts w:asciiTheme="majorHAnsi" w:hAnsiTheme="majorHAnsi"/>
        </w:rPr>
        <w:t xml:space="preserve"> 20%</w:t>
      </w:r>
      <w:r w:rsidRPr="000B4B7D">
        <w:rPr>
          <w:rFonts w:asciiTheme="majorHAnsi" w:hAnsiTheme="majorHAnsi"/>
        </w:rPr>
        <w:t xml:space="preserve"> van de orderwaarde per bestelling.</w:t>
      </w:r>
    </w:p>
    <w:p w14:paraId="67903B33" w14:textId="77777777" w:rsidR="003D3E35" w:rsidRPr="000B4B7D" w:rsidRDefault="003D3E35" w:rsidP="003D3E35">
      <w:pPr>
        <w:numPr>
          <w:ilvl w:val="0"/>
          <w:numId w:val="14"/>
        </w:numPr>
        <w:rPr>
          <w:rFonts w:asciiTheme="majorHAnsi" w:hAnsiTheme="majorHAnsi"/>
        </w:rPr>
      </w:pPr>
      <w:r w:rsidRPr="000B4B7D">
        <w:rPr>
          <w:rFonts w:asciiTheme="majorHAnsi" w:hAnsiTheme="majorHAnsi"/>
          <w:b/>
          <w:bCs/>
        </w:rPr>
        <w:t>Niet-naleving van Spoedbestellingen</w:t>
      </w:r>
      <w:r w:rsidRPr="000B4B7D">
        <w:rPr>
          <w:rFonts w:asciiTheme="majorHAnsi" w:hAnsiTheme="majorHAnsi"/>
        </w:rPr>
        <w:t>: Indien de leverancier niet binnen de afgesproken termijn van 1 werkdag levert voor spoedbestellingen, wordt een boete van €100 per dag vertraging opgelegd, met een maximum van €500 per spoedbestelling.</w:t>
      </w:r>
    </w:p>
    <w:p w14:paraId="233C051F" w14:textId="77777777" w:rsidR="003D3E35" w:rsidRPr="000B4B7D" w:rsidRDefault="003D3E35" w:rsidP="003D3E35">
      <w:pPr>
        <w:numPr>
          <w:ilvl w:val="0"/>
          <w:numId w:val="14"/>
        </w:numPr>
        <w:rPr>
          <w:rFonts w:asciiTheme="majorHAnsi" w:hAnsiTheme="majorHAnsi"/>
        </w:rPr>
      </w:pPr>
      <w:r w:rsidRPr="000B4B7D">
        <w:rPr>
          <w:rFonts w:asciiTheme="majorHAnsi" w:hAnsiTheme="majorHAnsi"/>
          <w:b/>
          <w:bCs/>
        </w:rPr>
        <w:t>Niet-nakoming van de Methodeadvisering</w:t>
      </w:r>
      <w:r w:rsidRPr="000B4B7D">
        <w:rPr>
          <w:rFonts w:asciiTheme="majorHAnsi" w:hAnsiTheme="majorHAnsi"/>
        </w:rPr>
        <w:t>: Indien de leverancier niet voldoet aan de verplichtingen inzake methodeadvisering zoals vastgelegd in artikel 6.2, wordt een boete opgelegd van €100 per gemist advies</w:t>
      </w:r>
      <w:r w:rsidRPr="00F235C3">
        <w:rPr>
          <w:rFonts w:asciiTheme="majorHAnsi" w:hAnsiTheme="majorHAnsi"/>
        </w:rPr>
        <w:t>-</w:t>
      </w:r>
      <w:r w:rsidRPr="000B4B7D">
        <w:rPr>
          <w:rFonts w:asciiTheme="majorHAnsi" w:hAnsiTheme="majorHAnsi"/>
        </w:rPr>
        <w:t>uur, met een maximum van €1000 per kalenderjaar.</w:t>
      </w:r>
    </w:p>
    <w:p w14:paraId="509D37D3" w14:textId="77777777" w:rsidR="003D3E35" w:rsidRPr="000B4B7D" w:rsidRDefault="003D3E35" w:rsidP="003D3E35">
      <w:pPr>
        <w:numPr>
          <w:ilvl w:val="0"/>
          <w:numId w:val="14"/>
        </w:numPr>
        <w:rPr>
          <w:rFonts w:asciiTheme="majorHAnsi" w:hAnsiTheme="majorHAnsi"/>
        </w:rPr>
      </w:pPr>
      <w:r w:rsidRPr="000B4B7D">
        <w:rPr>
          <w:rFonts w:asciiTheme="majorHAnsi" w:hAnsiTheme="majorHAnsi"/>
          <w:b/>
          <w:bCs/>
        </w:rPr>
        <w:lastRenderedPageBreak/>
        <w:t>Niet-levering van Managementinformatie</w:t>
      </w:r>
      <w:r w:rsidRPr="000B4B7D">
        <w:rPr>
          <w:rFonts w:asciiTheme="majorHAnsi" w:hAnsiTheme="majorHAnsi"/>
        </w:rPr>
        <w:t>: Indien de leverancier niet tijdig of onvolledig de vereiste managementinformatie zoals beschreven in artikel 6.12 aanlevert, wordt een boete van €500 per ontbrekend of onjuist rapport opgelegd, met een maximum van €2000 per kalenderjaar.</w:t>
      </w:r>
    </w:p>
    <w:p w14:paraId="3A737105" w14:textId="77777777" w:rsidR="003D3E35" w:rsidRPr="000B4B7D" w:rsidRDefault="003D3E35" w:rsidP="003D3E35">
      <w:pPr>
        <w:numPr>
          <w:ilvl w:val="0"/>
          <w:numId w:val="14"/>
        </w:numPr>
        <w:rPr>
          <w:rFonts w:asciiTheme="majorHAnsi" w:hAnsiTheme="majorHAnsi"/>
        </w:rPr>
      </w:pPr>
      <w:r w:rsidRPr="000B4B7D">
        <w:rPr>
          <w:rFonts w:asciiTheme="majorHAnsi" w:hAnsiTheme="majorHAnsi"/>
          <w:b/>
          <w:bCs/>
        </w:rPr>
        <w:t>Onvolledige of Onjuiste Facturatie</w:t>
      </w:r>
      <w:r w:rsidRPr="000B4B7D">
        <w:rPr>
          <w:rFonts w:asciiTheme="majorHAnsi" w:hAnsiTheme="majorHAnsi"/>
        </w:rPr>
        <w:t>: Indien de leverancier herhaaldelijk onjuiste of onvolledige facturen aanlevert zoals vastgelegd in artikel 6.11, wordt een boete van €200 per incorrecte factuur opgelegd, met een maximum van €2000 per kalenderjaar.</w:t>
      </w:r>
    </w:p>
    <w:p w14:paraId="79C39EB6" w14:textId="77777777" w:rsidR="003D3E35" w:rsidRPr="000B4B7D" w:rsidRDefault="003D3E35" w:rsidP="003D3E35">
      <w:pPr>
        <w:numPr>
          <w:ilvl w:val="0"/>
          <w:numId w:val="14"/>
        </w:numPr>
        <w:rPr>
          <w:rFonts w:asciiTheme="majorHAnsi" w:hAnsiTheme="majorHAnsi"/>
        </w:rPr>
      </w:pPr>
      <w:r w:rsidRPr="000B4B7D">
        <w:rPr>
          <w:rFonts w:asciiTheme="majorHAnsi" w:hAnsiTheme="majorHAnsi"/>
          <w:b/>
          <w:bCs/>
        </w:rPr>
        <w:t>Niet-naleving van Retourprocedure</w:t>
      </w:r>
      <w:r w:rsidRPr="000B4B7D">
        <w:rPr>
          <w:rFonts w:asciiTheme="majorHAnsi" w:hAnsiTheme="majorHAnsi"/>
        </w:rPr>
        <w:t>: Indien de leverancier niet voldoet aan de retourprocedure zoals vastgelegd in artikel 6.10, wordt een boete opgelegd van €50 per dag dat de leverancier in gebreke blijft, met een maximum van €500 per incident.</w:t>
      </w:r>
    </w:p>
    <w:p w14:paraId="60AC9A69" w14:textId="77777777" w:rsidR="003D3E35" w:rsidRDefault="003D3E35" w:rsidP="003D3E35">
      <w:pPr>
        <w:rPr>
          <w:rFonts w:asciiTheme="majorHAnsi" w:hAnsiTheme="majorHAnsi"/>
          <w:b/>
          <w:bCs/>
        </w:rPr>
      </w:pPr>
    </w:p>
    <w:p w14:paraId="58AC965E" w14:textId="77777777" w:rsidR="003D3E35" w:rsidRPr="000B4B7D" w:rsidRDefault="003D3E35" w:rsidP="003D3E35">
      <w:pPr>
        <w:rPr>
          <w:rFonts w:asciiTheme="majorHAnsi" w:hAnsiTheme="majorHAnsi"/>
        </w:rPr>
      </w:pPr>
      <w:r w:rsidRPr="000B4B7D">
        <w:rPr>
          <w:rFonts w:asciiTheme="majorHAnsi" w:hAnsiTheme="majorHAnsi"/>
          <w:b/>
          <w:bCs/>
        </w:rPr>
        <w:t>6.18.2 Ontbindingsfactoren</w:t>
      </w:r>
    </w:p>
    <w:p w14:paraId="70118763" w14:textId="77777777" w:rsidR="003D3E35" w:rsidRPr="000B4B7D" w:rsidRDefault="003D3E35" w:rsidP="003D3E35">
      <w:pPr>
        <w:rPr>
          <w:rFonts w:asciiTheme="majorHAnsi" w:hAnsiTheme="majorHAnsi"/>
        </w:rPr>
      </w:pPr>
      <w:r w:rsidRPr="000B4B7D">
        <w:rPr>
          <w:rFonts w:asciiTheme="majorHAnsi" w:hAnsiTheme="majorHAnsi"/>
        </w:rPr>
        <w:t>De Aanbestedende Dienst heeft het recht om de overeenkomst onmiddellijk te ontbinden zonder rechterlijke tussenkomst indien de leverancier:</w:t>
      </w:r>
    </w:p>
    <w:p w14:paraId="6B83C8BD" w14:textId="77777777" w:rsidR="003D3E35" w:rsidRPr="000B4B7D" w:rsidRDefault="003D3E35" w:rsidP="003D3E35">
      <w:pPr>
        <w:numPr>
          <w:ilvl w:val="0"/>
          <w:numId w:val="15"/>
        </w:numPr>
        <w:rPr>
          <w:rFonts w:asciiTheme="majorHAnsi" w:hAnsiTheme="majorHAnsi"/>
        </w:rPr>
      </w:pPr>
      <w:r w:rsidRPr="000B4B7D">
        <w:rPr>
          <w:rFonts w:asciiTheme="majorHAnsi" w:hAnsiTheme="majorHAnsi"/>
          <w:b/>
          <w:bCs/>
        </w:rPr>
        <w:t xml:space="preserve">Herhaaldelijk in </w:t>
      </w:r>
      <w:r w:rsidRPr="00F235C3">
        <w:rPr>
          <w:rFonts w:asciiTheme="majorHAnsi" w:hAnsiTheme="majorHAnsi"/>
          <w:b/>
          <w:bCs/>
        </w:rPr>
        <w:t>G</w:t>
      </w:r>
      <w:r w:rsidRPr="000B4B7D">
        <w:rPr>
          <w:rFonts w:asciiTheme="majorHAnsi" w:hAnsiTheme="majorHAnsi"/>
          <w:b/>
          <w:bCs/>
        </w:rPr>
        <w:t>ebreke Blijft</w:t>
      </w:r>
      <w:r w:rsidRPr="000B4B7D">
        <w:rPr>
          <w:rFonts w:asciiTheme="majorHAnsi" w:hAnsiTheme="majorHAnsi"/>
        </w:rPr>
        <w:t>: Indien de leverancier na drie formele schriftelijke ingebrekestellingen binnen een periode van zes maanden niet voldoet aan de verplichtingen uit deze overeenkomst.</w:t>
      </w:r>
    </w:p>
    <w:p w14:paraId="39B8EA87" w14:textId="77777777" w:rsidR="003D3E35" w:rsidRPr="000B4B7D" w:rsidRDefault="003D3E35" w:rsidP="003D3E35">
      <w:pPr>
        <w:numPr>
          <w:ilvl w:val="0"/>
          <w:numId w:val="15"/>
        </w:numPr>
        <w:rPr>
          <w:rFonts w:asciiTheme="majorHAnsi" w:hAnsiTheme="majorHAnsi"/>
        </w:rPr>
      </w:pPr>
      <w:r w:rsidRPr="000B4B7D">
        <w:rPr>
          <w:rFonts w:asciiTheme="majorHAnsi" w:hAnsiTheme="majorHAnsi"/>
          <w:b/>
          <w:bCs/>
        </w:rPr>
        <w:t>Grote Gebreken in Levertijden</w:t>
      </w:r>
      <w:r w:rsidRPr="000B4B7D">
        <w:rPr>
          <w:rFonts w:asciiTheme="majorHAnsi" w:hAnsiTheme="majorHAnsi"/>
        </w:rPr>
        <w:t>: Indien de leverancier bij meer dan 10% van de bestellingen binnen een kalenderjaar niet voldoet aan de gestelde levertijden zoals beschreven in artikel 6.8.</w:t>
      </w:r>
    </w:p>
    <w:p w14:paraId="060A1E3B" w14:textId="77777777" w:rsidR="003D3E35" w:rsidRPr="000B4B7D" w:rsidRDefault="003D3E35" w:rsidP="003D3E35">
      <w:pPr>
        <w:numPr>
          <w:ilvl w:val="0"/>
          <w:numId w:val="15"/>
        </w:numPr>
        <w:rPr>
          <w:rFonts w:asciiTheme="majorHAnsi" w:hAnsiTheme="majorHAnsi"/>
        </w:rPr>
      </w:pPr>
      <w:r w:rsidRPr="000B4B7D">
        <w:rPr>
          <w:rFonts w:asciiTheme="majorHAnsi" w:hAnsiTheme="majorHAnsi"/>
          <w:b/>
          <w:bCs/>
        </w:rPr>
        <w:t>Niet-naleving van Spoedbestellingen</w:t>
      </w:r>
      <w:r w:rsidRPr="000B4B7D">
        <w:rPr>
          <w:rFonts w:asciiTheme="majorHAnsi" w:hAnsiTheme="majorHAnsi"/>
        </w:rPr>
        <w:t>: Indien de leverancier meer dan drie keer binnen een kalenderjaar niet voldoet aan de verplichtingen inzake spoedbestellingen zoals beschreven in artikel 6.8.</w:t>
      </w:r>
    </w:p>
    <w:p w14:paraId="4D366119" w14:textId="77777777" w:rsidR="003D3E35" w:rsidRPr="000B4B7D" w:rsidRDefault="003D3E35" w:rsidP="003D3E35">
      <w:pPr>
        <w:numPr>
          <w:ilvl w:val="0"/>
          <w:numId w:val="15"/>
        </w:numPr>
        <w:rPr>
          <w:rFonts w:asciiTheme="majorHAnsi" w:hAnsiTheme="majorHAnsi"/>
        </w:rPr>
      </w:pPr>
      <w:r w:rsidRPr="000B4B7D">
        <w:rPr>
          <w:rFonts w:asciiTheme="majorHAnsi" w:hAnsiTheme="majorHAnsi"/>
          <w:b/>
          <w:bCs/>
        </w:rPr>
        <w:t>Niet-nakoming van de Methodeadvisering</w:t>
      </w:r>
      <w:r w:rsidRPr="000B4B7D">
        <w:rPr>
          <w:rFonts w:asciiTheme="majorHAnsi" w:hAnsiTheme="majorHAnsi"/>
        </w:rPr>
        <w:t>: Indien de leverancier herhaaldelijk en zonder gegronde reden nalaat om de benodigde methodeadvisering te leveren zoals beschreven in artikel 6.2.</w:t>
      </w:r>
    </w:p>
    <w:p w14:paraId="3A37E79B" w14:textId="77777777" w:rsidR="003D3E35" w:rsidRPr="00F235C3" w:rsidRDefault="003D3E35" w:rsidP="003D3E35">
      <w:pPr>
        <w:numPr>
          <w:ilvl w:val="0"/>
          <w:numId w:val="15"/>
        </w:numPr>
        <w:rPr>
          <w:rFonts w:asciiTheme="majorHAnsi" w:hAnsiTheme="majorHAnsi"/>
        </w:rPr>
      </w:pPr>
      <w:r w:rsidRPr="000B4B7D">
        <w:rPr>
          <w:rFonts w:asciiTheme="majorHAnsi" w:hAnsiTheme="majorHAnsi"/>
          <w:b/>
          <w:bCs/>
        </w:rPr>
        <w:t>Onjuistheden in Facturatie of Niet-levering van Managementinformatie</w:t>
      </w:r>
      <w:r w:rsidRPr="000B4B7D">
        <w:rPr>
          <w:rFonts w:asciiTheme="majorHAnsi" w:hAnsiTheme="majorHAnsi"/>
        </w:rPr>
        <w:t>: Indien de leverancier herhaaldelijk en zonder gegronde reden nalaat om correcte facturatie of managementinformatie aan te leveren zoals beschreven in artikelen 6.11 en 6.12.</w:t>
      </w:r>
    </w:p>
    <w:p w14:paraId="0DBCF1E4" w14:textId="77777777" w:rsidR="003D3E35" w:rsidRPr="000B4B7D" w:rsidRDefault="003D3E35" w:rsidP="003D3E35">
      <w:pPr>
        <w:ind w:left="720"/>
        <w:rPr>
          <w:rFonts w:asciiTheme="majorHAnsi" w:hAnsiTheme="majorHAnsi"/>
        </w:rPr>
      </w:pPr>
    </w:p>
    <w:p w14:paraId="24985D5F" w14:textId="77777777" w:rsidR="003D3E35" w:rsidRPr="000B4B7D" w:rsidRDefault="003D3E35" w:rsidP="003D3E35">
      <w:pPr>
        <w:rPr>
          <w:rFonts w:asciiTheme="majorHAnsi" w:hAnsiTheme="majorHAnsi"/>
        </w:rPr>
      </w:pPr>
      <w:r w:rsidRPr="000B4B7D">
        <w:rPr>
          <w:rFonts w:asciiTheme="majorHAnsi" w:hAnsiTheme="majorHAnsi"/>
          <w:b/>
          <w:bCs/>
        </w:rPr>
        <w:t>6.18.3 Gevolgen van Ontbinding</w:t>
      </w:r>
    </w:p>
    <w:p w14:paraId="0442B911" w14:textId="77777777" w:rsidR="003D3E35" w:rsidRPr="000B4B7D" w:rsidRDefault="003D3E35" w:rsidP="003D3E35">
      <w:pPr>
        <w:rPr>
          <w:rFonts w:asciiTheme="majorHAnsi" w:hAnsiTheme="majorHAnsi"/>
        </w:rPr>
      </w:pPr>
      <w:r w:rsidRPr="000B4B7D">
        <w:rPr>
          <w:rFonts w:asciiTheme="majorHAnsi" w:hAnsiTheme="majorHAnsi"/>
        </w:rPr>
        <w:t>Bij ontbinding van de overeenkomst zullen eventuele lopende bestellingen door de leverancier kosteloos worden geannuleerd op verzoek van de Aanbestedende Dienst. De Aanbestedende Dienst is gerechtigd om voor deze bestellingen elders in te kopen zonder enige verplichting tot betaling aan de leverancier.</w:t>
      </w:r>
    </w:p>
    <w:p w14:paraId="0EC27375" w14:textId="77777777" w:rsidR="003D3E35" w:rsidRPr="000B4B7D" w:rsidRDefault="003D3E35" w:rsidP="003D3E35">
      <w:pPr>
        <w:rPr>
          <w:rFonts w:asciiTheme="majorHAnsi" w:hAnsiTheme="majorHAnsi"/>
        </w:rPr>
      </w:pPr>
      <w:r w:rsidRPr="000B4B7D">
        <w:rPr>
          <w:rFonts w:asciiTheme="majorHAnsi" w:hAnsiTheme="majorHAnsi"/>
        </w:rPr>
        <w:t>Daarnaast kan de Aanbestedende Dienst eventuele reeds opgelegde boetes verrekenen met uitstaande betalingen of terugvorderingen.</w:t>
      </w:r>
    </w:p>
    <w:p w14:paraId="54D3FE68" w14:textId="77777777" w:rsidR="003D3E35" w:rsidRPr="00F235C3" w:rsidRDefault="003D3E35" w:rsidP="003D3E35">
      <w:pPr>
        <w:rPr>
          <w:rFonts w:asciiTheme="majorHAnsi" w:hAnsiTheme="majorHAnsi"/>
        </w:rPr>
      </w:pPr>
    </w:p>
    <w:p w14:paraId="63D3D0BE" w14:textId="77777777" w:rsidR="003D3E35" w:rsidRPr="000B4B7D" w:rsidRDefault="003D3E35" w:rsidP="003D3E35">
      <w:pPr>
        <w:rPr>
          <w:rFonts w:asciiTheme="majorHAnsi" w:hAnsiTheme="majorHAnsi"/>
        </w:rPr>
      </w:pPr>
      <w:r w:rsidRPr="000B4B7D">
        <w:rPr>
          <w:rFonts w:asciiTheme="majorHAnsi" w:hAnsiTheme="majorHAnsi"/>
        </w:rPr>
        <w:t>Deze clausules en ontbindingsfactoren zijn ontworpen om ervoor te zorgen dat de leverancier zich houdt aan de verplichtingen en om de Aanbestedende Dienst te beschermen in geval van wanprestatie.</w:t>
      </w:r>
    </w:p>
    <w:p w14:paraId="11086488" w14:textId="77777777" w:rsidR="003D3E35" w:rsidRDefault="003D3E35" w:rsidP="003E6889">
      <w:pPr>
        <w:rPr>
          <w:rFonts w:asciiTheme="majorHAnsi" w:hAnsiTheme="majorHAnsi"/>
        </w:rPr>
      </w:pPr>
    </w:p>
    <w:p w14:paraId="0CFA1340" w14:textId="77777777" w:rsidR="003D3E35" w:rsidRDefault="003D3E35" w:rsidP="003E6889">
      <w:pPr>
        <w:rPr>
          <w:rFonts w:asciiTheme="majorHAnsi" w:hAnsiTheme="majorHAnsi"/>
        </w:rPr>
      </w:pPr>
    </w:p>
    <w:p w14:paraId="3FEDCF1D" w14:textId="77777777" w:rsidR="003D3E35" w:rsidRDefault="003D3E35" w:rsidP="003E6889">
      <w:pPr>
        <w:rPr>
          <w:rFonts w:asciiTheme="majorHAnsi" w:hAnsiTheme="majorHAnsi"/>
        </w:rPr>
      </w:pPr>
    </w:p>
    <w:p w14:paraId="2EFE0BD4" w14:textId="77777777" w:rsidR="003D3E35" w:rsidRDefault="003D3E35" w:rsidP="003E6889">
      <w:pPr>
        <w:rPr>
          <w:rFonts w:asciiTheme="majorHAnsi" w:hAnsiTheme="majorHAnsi"/>
        </w:rPr>
      </w:pPr>
    </w:p>
    <w:p w14:paraId="41307A75" w14:textId="77777777" w:rsidR="003D3E35" w:rsidRDefault="003D3E35" w:rsidP="003E6889">
      <w:pPr>
        <w:rPr>
          <w:rFonts w:asciiTheme="majorHAnsi" w:hAnsiTheme="majorHAnsi"/>
        </w:rPr>
      </w:pPr>
    </w:p>
    <w:p w14:paraId="75B1F292" w14:textId="77777777" w:rsidR="003D3E35" w:rsidRDefault="003D3E35" w:rsidP="003E6889">
      <w:pPr>
        <w:rPr>
          <w:rFonts w:asciiTheme="majorHAnsi" w:hAnsiTheme="majorHAnsi"/>
        </w:rPr>
      </w:pPr>
    </w:p>
    <w:p w14:paraId="7901ECDB" w14:textId="77777777" w:rsidR="003D3E35" w:rsidRDefault="003D3E35" w:rsidP="003E6889">
      <w:pPr>
        <w:rPr>
          <w:rFonts w:asciiTheme="majorHAnsi" w:hAnsiTheme="majorHAnsi"/>
        </w:rPr>
      </w:pPr>
    </w:p>
    <w:p w14:paraId="484E7246" w14:textId="77777777" w:rsidR="003D3E35" w:rsidRDefault="003D3E35" w:rsidP="003E6889">
      <w:pPr>
        <w:rPr>
          <w:rFonts w:asciiTheme="majorHAnsi" w:hAnsiTheme="majorHAnsi"/>
        </w:rPr>
      </w:pPr>
    </w:p>
    <w:p w14:paraId="2A0EC547" w14:textId="77777777" w:rsidR="003D3E35" w:rsidRDefault="003D3E35" w:rsidP="003E6889">
      <w:pPr>
        <w:rPr>
          <w:rFonts w:asciiTheme="majorHAnsi" w:hAnsiTheme="majorHAnsi"/>
        </w:rPr>
      </w:pPr>
    </w:p>
    <w:p w14:paraId="576A8CD7" w14:textId="77777777" w:rsidR="003D3E35" w:rsidRDefault="003D3E35" w:rsidP="003E6889">
      <w:pPr>
        <w:rPr>
          <w:rFonts w:asciiTheme="majorHAnsi" w:hAnsiTheme="majorHAnsi"/>
        </w:rPr>
      </w:pPr>
    </w:p>
    <w:p w14:paraId="6E812766" w14:textId="77777777" w:rsidR="003D3E35" w:rsidRDefault="003D3E35" w:rsidP="003E6889">
      <w:pPr>
        <w:rPr>
          <w:rFonts w:asciiTheme="majorHAnsi" w:hAnsiTheme="majorHAnsi"/>
        </w:rPr>
      </w:pPr>
    </w:p>
    <w:p w14:paraId="5A2CDEC3" w14:textId="77777777" w:rsidR="003D3E35" w:rsidRDefault="003D3E35" w:rsidP="003E6889">
      <w:pPr>
        <w:rPr>
          <w:rFonts w:asciiTheme="majorHAnsi" w:hAnsiTheme="majorHAnsi"/>
        </w:rPr>
      </w:pPr>
    </w:p>
    <w:p w14:paraId="4BF30691" w14:textId="77777777" w:rsidR="003D3E35" w:rsidRDefault="003D3E35" w:rsidP="003E6889">
      <w:pPr>
        <w:rPr>
          <w:rFonts w:asciiTheme="majorHAnsi" w:hAnsiTheme="majorHAnsi"/>
        </w:rPr>
      </w:pPr>
    </w:p>
    <w:p w14:paraId="1F285C2A" w14:textId="77777777" w:rsidR="003D3E35" w:rsidRDefault="003D3E35" w:rsidP="003E6889">
      <w:pPr>
        <w:rPr>
          <w:rFonts w:asciiTheme="majorHAnsi" w:hAnsiTheme="majorHAnsi"/>
        </w:rPr>
      </w:pPr>
    </w:p>
    <w:p w14:paraId="4398BAEB" w14:textId="454FBD92"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Getekend voor akkoord op </w:t>
      </w:r>
      <w:r w:rsidR="0045417D" w:rsidRPr="003008A8">
        <w:rPr>
          <w:rFonts w:asciiTheme="majorHAnsi" w:hAnsiTheme="majorHAnsi" w:cs="ScalaSans-Regular"/>
          <w:color w:val="000000"/>
        </w:rPr>
        <w:t>datum:</w:t>
      </w:r>
    </w:p>
    <w:p w14:paraId="55479918" w14:textId="77777777" w:rsidR="003E6889" w:rsidRDefault="003E6889" w:rsidP="003E6889">
      <w:pPr>
        <w:rPr>
          <w:rFonts w:asciiTheme="majorHAnsi" w:hAnsiTheme="majorHAnsi" w:cs="ScalaSans-Regular"/>
          <w:color w:val="000000"/>
        </w:rPr>
      </w:pPr>
    </w:p>
    <w:p w14:paraId="36C911C0" w14:textId="77777777" w:rsidR="003008A8" w:rsidRDefault="003008A8" w:rsidP="003E6889">
      <w:pPr>
        <w:rPr>
          <w:rFonts w:asciiTheme="majorHAnsi" w:hAnsiTheme="majorHAnsi" w:cs="ScalaSans-Regular"/>
          <w:color w:val="000000"/>
        </w:rPr>
      </w:pPr>
    </w:p>
    <w:p w14:paraId="5ABAB908" w14:textId="77777777" w:rsidR="003E6889" w:rsidRPr="003008A8" w:rsidRDefault="0045417D" w:rsidP="003E6889">
      <w:pPr>
        <w:rPr>
          <w:rFonts w:asciiTheme="majorHAnsi" w:hAnsiTheme="majorHAnsi" w:cs="ScalaSans-Regular"/>
          <w:color w:val="000000"/>
        </w:rPr>
      </w:pPr>
      <w:r w:rsidRPr="003008A8">
        <w:rPr>
          <w:rFonts w:asciiTheme="majorHAnsi" w:hAnsiTheme="majorHAnsi" w:cs="ScalaSans-Regular"/>
          <w:color w:val="000000"/>
        </w:rPr>
        <w:t>Datum:</w:t>
      </w:r>
    </w:p>
    <w:p w14:paraId="48595048" w14:textId="77777777" w:rsidR="003E6889" w:rsidRDefault="003E6889" w:rsidP="003E6889">
      <w:pPr>
        <w:rPr>
          <w:rFonts w:asciiTheme="majorHAnsi" w:hAnsiTheme="majorHAnsi" w:cs="ScalaSans-Regular"/>
          <w:color w:val="000000"/>
        </w:rPr>
      </w:pPr>
    </w:p>
    <w:p w14:paraId="2569B4F9" w14:textId="77777777" w:rsidR="003008A8" w:rsidRPr="003008A8" w:rsidRDefault="003008A8" w:rsidP="003E6889">
      <w:pPr>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45417D" w:rsidRPr="003008A8" w14:paraId="1FEA0A38" w14:textId="77777777" w:rsidTr="00A56595">
        <w:tc>
          <w:tcPr>
            <w:tcW w:w="9322" w:type="dxa"/>
          </w:tcPr>
          <w:p w14:paraId="63506DA0"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Naam Inschrijver:</w:t>
            </w:r>
          </w:p>
          <w:p w14:paraId="1F8A83AB" w14:textId="77777777" w:rsidR="00A56595" w:rsidRPr="003008A8" w:rsidRDefault="00A56595" w:rsidP="005A0C0D">
            <w:pPr>
              <w:rPr>
                <w:rFonts w:asciiTheme="majorHAnsi" w:hAnsiTheme="majorHAnsi" w:cs="ScalaSans-Regular"/>
                <w:color w:val="000000"/>
              </w:rPr>
            </w:pPr>
          </w:p>
        </w:tc>
      </w:tr>
      <w:tr w:rsidR="0045417D" w:rsidRPr="003008A8" w14:paraId="377D87E0" w14:textId="77777777" w:rsidTr="00A56595">
        <w:tc>
          <w:tcPr>
            <w:tcW w:w="9322" w:type="dxa"/>
          </w:tcPr>
          <w:p w14:paraId="7096CAAD" w14:textId="77777777" w:rsidR="0045417D" w:rsidRPr="003008A8" w:rsidRDefault="0045417D" w:rsidP="005A0C0D">
            <w:pPr>
              <w:rPr>
                <w:rFonts w:asciiTheme="majorHAnsi" w:hAnsiTheme="majorHAnsi" w:cs="ScalaSans-Regular"/>
                <w:color w:val="000000"/>
              </w:rPr>
            </w:pPr>
          </w:p>
          <w:p w14:paraId="63EA41DC"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Tekenbevoegde:</w:t>
            </w:r>
          </w:p>
          <w:p w14:paraId="2CED8E3B" w14:textId="77777777" w:rsidR="00A56595" w:rsidRDefault="00A56595" w:rsidP="005A0C0D">
            <w:pPr>
              <w:rPr>
                <w:rFonts w:asciiTheme="majorHAnsi" w:hAnsiTheme="majorHAnsi" w:cs="ScalaSans-Regular"/>
                <w:color w:val="000000"/>
              </w:rPr>
            </w:pPr>
          </w:p>
          <w:p w14:paraId="30764A32" w14:textId="77777777" w:rsidR="00A56595" w:rsidRDefault="00A56595" w:rsidP="005A0C0D">
            <w:pPr>
              <w:rPr>
                <w:rFonts w:asciiTheme="majorHAnsi" w:hAnsiTheme="majorHAnsi" w:cs="ScalaSans-Regular"/>
                <w:color w:val="000000"/>
              </w:rPr>
            </w:pPr>
          </w:p>
          <w:p w14:paraId="4509350F" w14:textId="77777777" w:rsidR="00A56595" w:rsidRDefault="00A56595" w:rsidP="005A0C0D">
            <w:pPr>
              <w:rPr>
                <w:rFonts w:asciiTheme="majorHAnsi" w:hAnsiTheme="majorHAnsi" w:cs="ScalaSans-Regular"/>
                <w:color w:val="000000"/>
              </w:rPr>
            </w:pPr>
          </w:p>
          <w:p w14:paraId="0D455293" w14:textId="77777777" w:rsidR="00A56595" w:rsidRPr="003008A8" w:rsidRDefault="00A56595" w:rsidP="005A0C0D">
            <w:pPr>
              <w:rPr>
                <w:rFonts w:asciiTheme="majorHAnsi" w:hAnsiTheme="majorHAnsi" w:cs="ScalaSans-Regular"/>
                <w:color w:val="000000"/>
              </w:rPr>
            </w:pPr>
          </w:p>
        </w:tc>
      </w:tr>
      <w:tr w:rsidR="0045417D" w:rsidRPr="003008A8" w14:paraId="1C05F827" w14:textId="77777777" w:rsidTr="00A56595">
        <w:tc>
          <w:tcPr>
            <w:tcW w:w="9322" w:type="dxa"/>
          </w:tcPr>
          <w:p w14:paraId="65D2783C"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Functie:</w:t>
            </w:r>
          </w:p>
          <w:p w14:paraId="565B8A29" w14:textId="77777777" w:rsidR="00A56595" w:rsidRDefault="00A56595" w:rsidP="005A0C0D">
            <w:pPr>
              <w:rPr>
                <w:rFonts w:asciiTheme="majorHAnsi" w:hAnsiTheme="majorHAnsi" w:cs="ScalaSans-Regular"/>
                <w:color w:val="000000"/>
              </w:rPr>
            </w:pPr>
          </w:p>
          <w:p w14:paraId="10D0241C" w14:textId="77777777" w:rsidR="00A56595" w:rsidRPr="003008A8" w:rsidRDefault="00A56595" w:rsidP="005A0C0D">
            <w:pPr>
              <w:rPr>
                <w:rFonts w:asciiTheme="majorHAnsi" w:hAnsiTheme="majorHAnsi" w:cs="ScalaSans-Regular"/>
                <w:color w:val="000000"/>
              </w:rPr>
            </w:pPr>
          </w:p>
        </w:tc>
      </w:tr>
    </w:tbl>
    <w:p w14:paraId="2C0DA991" w14:textId="77777777" w:rsidR="003E6889" w:rsidRPr="003008A8" w:rsidRDefault="003E6889" w:rsidP="003E6889">
      <w:pPr>
        <w:rPr>
          <w:rFonts w:asciiTheme="majorHAnsi" w:hAnsiTheme="majorHAnsi"/>
        </w:rPr>
      </w:pPr>
    </w:p>
    <w:sectPr w:rsidR="003E6889" w:rsidRPr="003008A8" w:rsidSect="00236AA3">
      <w:headerReference w:type="even" r:id="rId10"/>
      <w:headerReference w:type="default" r:id="rId11"/>
      <w:footerReference w:type="even" r:id="rId12"/>
      <w:footerReference w:type="default" r:id="rId13"/>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B7866" w14:textId="77777777" w:rsidR="00DF778C" w:rsidRDefault="00DF778C">
      <w:r>
        <w:separator/>
      </w:r>
    </w:p>
  </w:endnote>
  <w:endnote w:type="continuationSeparator" w:id="0">
    <w:p w14:paraId="6E3295B6" w14:textId="77777777" w:rsidR="00DF778C" w:rsidRDefault="00DF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CCB52"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5270C914"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B4D91" w14:textId="77777777" w:rsidR="00A84E8D" w:rsidRPr="00D73D32" w:rsidRDefault="00A84E8D" w:rsidP="004D7EFD">
    <w:pPr>
      <w:pStyle w:val="Voettekst"/>
      <w:framePr w:wrap="around" w:vAnchor="text" w:hAnchor="margin" w:xAlign="right" w:y="1"/>
      <w:rPr>
        <w:rStyle w:val="Paginanummer"/>
        <w:rFonts w:asciiTheme="majorHAnsi" w:hAnsiTheme="majorHAnsi"/>
      </w:rPr>
    </w:pPr>
    <w:r w:rsidRPr="00D73D32">
      <w:rPr>
        <w:rStyle w:val="Paginanummer"/>
        <w:rFonts w:asciiTheme="majorHAnsi" w:hAnsiTheme="majorHAnsi"/>
      </w:rPr>
      <w:fldChar w:fldCharType="begin"/>
    </w:r>
    <w:r w:rsidRPr="00D73D32">
      <w:rPr>
        <w:rStyle w:val="Paginanummer"/>
        <w:rFonts w:asciiTheme="majorHAnsi" w:hAnsiTheme="majorHAnsi"/>
      </w:rPr>
      <w:instrText xml:space="preserve">PAGE  </w:instrText>
    </w:r>
    <w:r w:rsidRPr="00D73D32">
      <w:rPr>
        <w:rStyle w:val="Paginanummer"/>
        <w:rFonts w:asciiTheme="majorHAnsi" w:hAnsiTheme="majorHAnsi"/>
      </w:rPr>
      <w:fldChar w:fldCharType="separate"/>
    </w:r>
    <w:r w:rsidR="001B0479" w:rsidRPr="00D73D32">
      <w:rPr>
        <w:rStyle w:val="Paginanummer"/>
        <w:rFonts w:asciiTheme="majorHAnsi" w:hAnsiTheme="majorHAnsi"/>
        <w:noProof/>
      </w:rPr>
      <w:t>6</w:t>
    </w:r>
    <w:r w:rsidRPr="00D73D32">
      <w:rPr>
        <w:rStyle w:val="Paginanummer"/>
        <w:rFonts w:asciiTheme="majorHAnsi" w:hAnsiTheme="majorHAnsi"/>
      </w:rPr>
      <w:fldChar w:fldCharType="end"/>
    </w:r>
  </w:p>
  <w:p w14:paraId="157B9B9B"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6ABD2" w14:textId="77777777" w:rsidR="00DF778C" w:rsidRDefault="00DF778C">
      <w:r>
        <w:separator/>
      </w:r>
    </w:p>
  </w:footnote>
  <w:footnote w:type="continuationSeparator" w:id="0">
    <w:p w14:paraId="5331259C" w14:textId="77777777" w:rsidR="00DF778C" w:rsidRDefault="00DF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E05D0"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07FD054D" wp14:editId="10C11CD6">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BE30A" w14:textId="77777777" w:rsidR="00A84E8D" w:rsidRDefault="009E579A">
    <w:pPr>
      <w:pStyle w:val="Kop-envoettekst"/>
      <w:rPr>
        <w:rFonts w:ascii="Times New Roman" w:eastAsia="Times New Roman" w:hAnsi="Times New Roman"/>
        <w:color w:val="auto"/>
        <w:lang w:bidi="x-none"/>
      </w:rPr>
    </w:pPr>
    <w:r w:rsidRPr="00D73D32">
      <w:rPr>
        <w:rFonts w:asciiTheme="majorHAnsi" w:hAnsiTheme="majorHAnsi"/>
        <w:noProof/>
      </w:rPr>
      <w:drawing>
        <wp:anchor distT="0" distB="0" distL="114300" distR="114300" simplePos="0" relativeHeight="251657216" behindDoc="1" locked="0" layoutInCell="1" allowOverlap="1" wp14:anchorId="5B7C0A9E" wp14:editId="40B0372D">
          <wp:simplePos x="0" y="0"/>
          <wp:positionH relativeFrom="page">
            <wp:posOffset>0</wp:posOffset>
          </wp:positionH>
          <wp:positionV relativeFrom="page">
            <wp:posOffset>330200</wp:posOffset>
          </wp:positionV>
          <wp:extent cx="7560310" cy="10414635"/>
          <wp:effectExtent l="0" t="0" r="889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414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A74E7"/>
    <w:multiLevelType w:val="multilevel"/>
    <w:tmpl w:val="183C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5201E0"/>
    <w:multiLevelType w:val="hybridMultilevel"/>
    <w:tmpl w:val="BFEAED4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AE67705"/>
    <w:multiLevelType w:val="multilevel"/>
    <w:tmpl w:val="9510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710D6E"/>
    <w:multiLevelType w:val="hybridMultilevel"/>
    <w:tmpl w:val="CD0489D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11"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055642">
    <w:abstractNumId w:val="0"/>
  </w:num>
  <w:num w:numId="2" w16cid:durableId="973482719">
    <w:abstractNumId w:val="12"/>
  </w:num>
  <w:num w:numId="3" w16cid:durableId="1701975313">
    <w:abstractNumId w:val="3"/>
  </w:num>
  <w:num w:numId="4" w16cid:durableId="1282809049">
    <w:abstractNumId w:val="11"/>
  </w:num>
  <w:num w:numId="5" w16cid:durableId="1500340682">
    <w:abstractNumId w:val="14"/>
  </w:num>
  <w:num w:numId="6" w16cid:durableId="1175268520">
    <w:abstractNumId w:val="10"/>
  </w:num>
  <w:num w:numId="7" w16cid:durableId="927351679">
    <w:abstractNumId w:val="8"/>
  </w:num>
  <w:num w:numId="8" w16cid:durableId="154495756">
    <w:abstractNumId w:val="1"/>
  </w:num>
  <w:num w:numId="9" w16cid:durableId="508906349">
    <w:abstractNumId w:val="4"/>
  </w:num>
  <w:num w:numId="10" w16cid:durableId="1490947707">
    <w:abstractNumId w:val="7"/>
  </w:num>
  <w:num w:numId="11" w16cid:durableId="1765297068">
    <w:abstractNumId w:val="13"/>
  </w:num>
  <w:num w:numId="12" w16cid:durableId="201331031">
    <w:abstractNumId w:val="9"/>
  </w:num>
  <w:num w:numId="13" w16cid:durableId="366610969">
    <w:abstractNumId w:val="5"/>
  </w:num>
  <w:num w:numId="14" w16cid:durableId="1376809424">
    <w:abstractNumId w:val="6"/>
  </w:num>
  <w:num w:numId="15" w16cid:durableId="766971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3A1"/>
    <w:rsid w:val="00007B7D"/>
    <w:rsid w:val="00022B3F"/>
    <w:rsid w:val="00033992"/>
    <w:rsid w:val="00051010"/>
    <w:rsid w:val="0007586A"/>
    <w:rsid w:val="00091146"/>
    <w:rsid w:val="0009436F"/>
    <w:rsid w:val="000952F4"/>
    <w:rsid w:val="000B1E8D"/>
    <w:rsid w:val="000C12EE"/>
    <w:rsid w:val="000E7C1C"/>
    <w:rsid w:val="001126F1"/>
    <w:rsid w:val="00125A31"/>
    <w:rsid w:val="00127162"/>
    <w:rsid w:val="0013151B"/>
    <w:rsid w:val="00136B67"/>
    <w:rsid w:val="00146089"/>
    <w:rsid w:val="00154CFE"/>
    <w:rsid w:val="00191602"/>
    <w:rsid w:val="001B0479"/>
    <w:rsid w:val="001C3C83"/>
    <w:rsid w:val="001E452C"/>
    <w:rsid w:val="001F282A"/>
    <w:rsid w:val="00224A99"/>
    <w:rsid w:val="00236AA3"/>
    <w:rsid w:val="00237E24"/>
    <w:rsid w:val="00240C06"/>
    <w:rsid w:val="0025482C"/>
    <w:rsid w:val="002656B6"/>
    <w:rsid w:val="002827ED"/>
    <w:rsid w:val="00291347"/>
    <w:rsid w:val="002D2AB3"/>
    <w:rsid w:val="002D4B24"/>
    <w:rsid w:val="002D670F"/>
    <w:rsid w:val="003008A8"/>
    <w:rsid w:val="00302C5E"/>
    <w:rsid w:val="00332B1C"/>
    <w:rsid w:val="00364819"/>
    <w:rsid w:val="00384D5D"/>
    <w:rsid w:val="003D3E35"/>
    <w:rsid w:val="003E6889"/>
    <w:rsid w:val="003E70FE"/>
    <w:rsid w:val="00407B1A"/>
    <w:rsid w:val="00414C79"/>
    <w:rsid w:val="00420573"/>
    <w:rsid w:val="004228C2"/>
    <w:rsid w:val="004262E4"/>
    <w:rsid w:val="00433F9A"/>
    <w:rsid w:val="00443463"/>
    <w:rsid w:val="00450F07"/>
    <w:rsid w:val="0045417D"/>
    <w:rsid w:val="004563A1"/>
    <w:rsid w:val="00462E1A"/>
    <w:rsid w:val="00466843"/>
    <w:rsid w:val="00494885"/>
    <w:rsid w:val="004963A8"/>
    <w:rsid w:val="004C1BDD"/>
    <w:rsid w:val="004C6AF7"/>
    <w:rsid w:val="004D7EFD"/>
    <w:rsid w:val="004F0431"/>
    <w:rsid w:val="004F3232"/>
    <w:rsid w:val="00513243"/>
    <w:rsid w:val="00527E84"/>
    <w:rsid w:val="00586CEF"/>
    <w:rsid w:val="00597139"/>
    <w:rsid w:val="005A0761"/>
    <w:rsid w:val="005B093B"/>
    <w:rsid w:val="005D628F"/>
    <w:rsid w:val="005F71C8"/>
    <w:rsid w:val="00647574"/>
    <w:rsid w:val="006809E7"/>
    <w:rsid w:val="0069488F"/>
    <w:rsid w:val="00696C00"/>
    <w:rsid w:val="006A7CEE"/>
    <w:rsid w:val="006B783D"/>
    <w:rsid w:val="00700844"/>
    <w:rsid w:val="007350B5"/>
    <w:rsid w:val="00746208"/>
    <w:rsid w:val="00765B2A"/>
    <w:rsid w:val="00792C5C"/>
    <w:rsid w:val="00795E64"/>
    <w:rsid w:val="00803D05"/>
    <w:rsid w:val="008463E4"/>
    <w:rsid w:val="00862200"/>
    <w:rsid w:val="00862D5F"/>
    <w:rsid w:val="00864F06"/>
    <w:rsid w:val="00875C6B"/>
    <w:rsid w:val="008C32B0"/>
    <w:rsid w:val="008C3F08"/>
    <w:rsid w:val="008E72CD"/>
    <w:rsid w:val="009170FC"/>
    <w:rsid w:val="00921876"/>
    <w:rsid w:val="00926D02"/>
    <w:rsid w:val="00954A27"/>
    <w:rsid w:val="009722B7"/>
    <w:rsid w:val="009735E4"/>
    <w:rsid w:val="00975FE8"/>
    <w:rsid w:val="009A7D13"/>
    <w:rsid w:val="009B2E36"/>
    <w:rsid w:val="009E1038"/>
    <w:rsid w:val="009E3C68"/>
    <w:rsid w:val="009E579A"/>
    <w:rsid w:val="009F7C8A"/>
    <w:rsid w:val="00A05007"/>
    <w:rsid w:val="00A058BF"/>
    <w:rsid w:val="00A35F1B"/>
    <w:rsid w:val="00A56595"/>
    <w:rsid w:val="00A84E8D"/>
    <w:rsid w:val="00AC393C"/>
    <w:rsid w:val="00AD1E32"/>
    <w:rsid w:val="00AE0A42"/>
    <w:rsid w:val="00B10063"/>
    <w:rsid w:val="00BB5BF6"/>
    <w:rsid w:val="00BE57EC"/>
    <w:rsid w:val="00C020D5"/>
    <w:rsid w:val="00C02C07"/>
    <w:rsid w:val="00C1465E"/>
    <w:rsid w:val="00C30FF6"/>
    <w:rsid w:val="00C45F8F"/>
    <w:rsid w:val="00C54615"/>
    <w:rsid w:val="00C87D43"/>
    <w:rsid w:val="00C9192E"/>
    <w:rsid w:val="00CC12E2"/>
    <w:rsid w:val="00CC364E"/>
    <w:rsid w:val="00CD150A"/>
    <w:rsid w:val="00CE3710"/>
    <w:rsid w:val="00CE3FA2"/>
    <w:rsid w:val="00CF3981"/>
    <w:rsid w:val="00D0080C"/>
    <w:rsid w:val="00D053F8"/>
    <w:rsid w:val="00D20AD2"/>
    <w:rsid w:val="00D3585F"/>
    <w:rsid w:val="00D7139A"/>
    <w:rsid w:val="00D73D32"/>
    <w:rsid w:val="00D84CEC"/>
    <w:rsid w:val="00D96B89"/>
    <w:rsid w:val="00DC2CFA"/>
    <w:rsid w:val="00DD0E78"/>
    <w:rsid w:val="00DF2007"/>
    <w:rsid w:val="00DF6989"/>
    <w:rsid w:val="00DF740E"/>
    <w:rsid w:val="00DF7601"/>
    <w:rsid w:val="00DF778C"/>
    <w:rsid w:val="00E40E82"/>
    <w:rsid w:val="00E62389"/>
    <w:rsid w:val="00E87735"/>
    <w:rsid w:val="00EB490A"/>
    <w:rsid w:val="00EB5792"/>
    <w:rsid w:val="00EC0F69"/>
    <w:rsid w:val="00ED2A58"/>
    <w:rsid w:val="00EF6D23"/>
    <w:rsid w:val="00F03D53"/>
    <w:rsid w:val="00F62F61"/>
    <w:rsid w:val="00F64052"/>
    <w:rsid w:val="00F66DDB"/>
    <w:rsid w:val="00F7391E"/>
    <w:rsid w:val="00FA04A5"/>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342E66F"/>
  <w14:defaultImageDpi w14:val="300"/>
  <w15:docId w15:val="{6C53532E-5DFB-1B40-B6B6-6A6641362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 w:type="paragraph" w:styleId="Normaalweb">
    <w:name w:val="Normal (Web)"/>
    <w:basedOn w:val="Standaard"/>
    <w:uiPriority w:val="99"/>
    <w:unhideWhenUsed/>
    <w:locked/>
    <w:rsid w:val="003D3E3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elschenk/OnderwijsIG%20Dropbox/Joel%20Schenk/2.%20Administratie/801.%20Aanbesteden%20EA%20OLP%20OIG%20klanten/105.%20Scala%20OLP.OIGJS.2024.11/1.%20Voorbereiding%20EA%20word%20documenten/Bijlage%204%20XXX%20Verklaring%20akk.%20PvE.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FCE919-3351-418D-9678-9677011B86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9A2728-F326-4A5D-BB0A-ADBE4479F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14DA89-D3FD-4273-8BA5-96F5E15653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Bijlage 4 XXX Verklaring akk. PvE.dotx</Template>
  <TotalTime>17</TotalTime>
  <Pages>7</Pages>
  <Words>2199</Words>
  <Characters>12098</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Joel Schenk</dc:creator>
  <cp:keywords/>
  <cp:lastModifiedBy>Joël Schenk</cp:lastModifiedBy>
  <cp:revision>1</cp:revision>
  <cp:lastPrinted>2011-11-12T12:17:00Z</cp:lastPrinted>
  <dcterms:created xsi:type="dcterms:W3CDTF">2024-09-16T13:38:00Z</dcterms:created>
  <dcterms:modified xsi:type="dcterms:W3CDTF">2024-09-16T14:03:00Z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3000</vt:r8>
  </property>
</Properties>
</file>