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534" w:type="dxa"/>
        <w:tblInd w:w="-27" w:type="dxa"/>
        <w:tblLayout w:type="fixed"/>
        <w:tblCellMar>
          <w:left w:w="70" w:type="dxa"/>
          <w:right w:w="70" w:type="dxa"/>
        </w:tblCellMar>
        <w:tblLook w:val="0000" w:firstRow="0" w:lastRow="0" w:firstColumn="0" w:lastColumn="0" w:noHBand="0" w:noVBand="0"/>
      </w:tblPr>
      <w:tblGrid>
        <w:gridCol w:w="8534"/>
      </w:tblGrid>
      <w:tr w:rsidR="006A3DFB" w:rsidRPr="006F4F32" w14:paraId="6B26F3D9" w14:textId="77777777" w:rsidTr="00917C07">
        <w:trPr>
          <w:trHeight w:val="213"/>
        </w:trPr>
        <w:tc>
          <w:tcPr>
            <w:tcW w:w="8534" w:type="dxa"/>
            <w:tcMar>
              <w:left w:w="0" w:type="dxa"/>
            </w:tcMar>
          </w:tcPr>
          <w:p w14:paraId="111B9B71" w14:textId="464928D4" w:rsidR="006A3DFB" w:rsidRPr="006F4F32" w:rsidRDefault="00E644C9" w:rsidP="00917C07">
            <w:pPr>
              <w:rPr>
                <w:rFonts w:ascii="Poppins" w:hAnsi="Poppins" w:cs="Poppins"/>
                <w:b/>
                <w:bCs/>
                <w:sz w:val="20"/>
                <w:szCs w:val="20"/>
                <w:u w:val="single"/>
                <w:lang w:val="en-US"/>
              </w:rPr>
            </w:pPr>
            <w:proofErr w:type="spellStart"/>
            <w:r>
              <w:rPr>
                <w:rFonts w:ascii="Poppins" w:hAnsi="Poppins" w:cs="Poppins"/>
                <w:b/>
                <w:bCs/>
                <w:sz w:val="20"/>
                <w:szCs w:val="20"/>
                <w:u w:val="single"/>
                <w:lang w:val="en-US"/>
              </w:rPr>
              <w:t>Nota</w:t>
            </w:r>
            <w:proofErr w:type="spellEnd"/>
            <w:r>
              <w:rPr>
                <w:rFonts w:ascii="Poppins" w:hAnsi="Poppins" w:cs="Poppins"/>
                <w:b/>
                <w:bCs/>
                <w:sz w:val="20"/>
                <w:szCs w:val="20"/>
                <w:u w:val="single"/>
                <w:lang w:val="en-US"/>
              </w:rPr>
              <w:t xml:space="preserve"> van Inlichtingen</w:t>
            </w:r>
          </w:p>
        </w:tc>
      </w:tr>
      <w:tr w:rsidR="006A3DFB" w:rsidRPr="006F4F32" w14:paraId="68F8AD8E" w14:textId="77777777" w:rsidTr="00917C07">
        <w:trPr>
          <w:trHeight w:val="213"/>
        </w:trPr>
        <w:tc>
          <w:tcPr>
            <w:tcW w:w="8534" w:type="dxa"/>
            <w:tcMar>
              <w:left w:w="0" w:type="dxa"/>
            </w:tcMar>
          </w:tcPr>
          <w:p w14:paraId="5065B5B4" w14:textId="77777777" w:rsidR="006A3DFB" w:rsidRPr="006F4F32" w:rsidRDefault="006A3DFB" w:rsidP="00917C07">
            <w:pPr>
              <w:rPr>
                <w:rFonts w:ascii="Poppins" w:hAnsi="Poppins" w:cs="Poppins"/>
                <w:b/>
                <w:bCs/>
                <w:sz w:val="20"/>
                <w:szCs w:val="20"/>
                <w:u w:val="single"/>
                <w:lang w:val="en-US"/>
              </w:rPr>
            </w:pPr>
          </w:p>
        </w:tc>
      </w:tr>
      <w:tr w:rsidR="006A3DFB" w:rsidRPr="006F4F32" w14:paraId="1E6D4D3F" w14:textId="77777777" w:rsidTr="00917C07">
        <w:trPr>
          <w:trHeight w:val="213"/>
        </w:trPr>
        <w:tc>
          <w:tcPr>
            <w:tcW w:w="8534" w:type="dxa"/>
            <w:tcMar>
              <w:left w:w="0" w:type="dxa"/>
            </w:tcMar>
          </w:tcPr>
          <w:p w14:paraId="27270165" w14:textId="77777777" w:rsidR="006A3DFB" w:rsidRPr="006F4F32" w:rsidRDefault="006A3DFB" w:rsidP="00917C07">
            <w:pPr>
              <w:rPr>
                <w:rFonts w:ascii="Poppins" w:hAnsi="Poppins" w:cs="Poppins"/>
                <w:b/>
                <w:bCs/>
                <w:sz w:val="20"/>
                <w:szCs w:val="20"/>
                <w:u w:val="single"/>
                <w:lang w:val="en-US"/>
              </w:rPr>
            </w:pPr>
          </w:p>
        </w:tc>
      </w:tr>
    </w:tbl>
    <w:p w14:paraId="62391D49" w14:textId="77777777" w:rsidR="006A3DFB" w:rsidRDefault="006A3DFB" w:rsidP="006A3DFB">
      <w:pPr>
        <w:rPr>
          <w:rFonts w:ascii="Poppins" w:hAnsi="Poppins" w:cs="Poppins"/>
          <w:sz w:val="20"/>
          <w:szCs w:val="20"/>
        </w:rPr>
      </w:pPr>
    </w:p>
    <w:p w14:paraId="44256A96" w14:textId="77777777" w:rsidR="006A3DFB" w:rsidRPr="000C72FA" w:rsidRDefault="006A3DFB" w:rsidP="006A3DFB">
      <w:pPr>
        <w:pStyle w:val="Lijstalinea"/>
        <w:numPr>
          <w:ilvl w:val="0"/>
          <w:numId w:val="1"/>
        </w:numPr>
        <w:jc w:val="both"/>
        <w:rPr>
          <w:rFonts w:cs="Poppins"/>
          <w:b/>
          <w:bCs/>
          <w:szCs w:val="20"/>
        </w:rPr>
      </w:pPr>
      <w:r w:rsidRPr="000C72FA">
        <w:rPr>
          <w:rFonts w:cs="Poppins"/>
          <w:b/>
          <w:bCs/>
          <w:szCs w:val="20"/>
        </w:rPr>
        <w:t>Mag Hoog Catharijne ook als referentieproject ingevuld worden?</w:t>
      </w:r>
    </w:p>
    <w:p w14:paraId="6A76DA00" w14:textId="77777777" w:rsidR="006A3DFB" w:rsidRDefault="006A3DFB" w:rsidP="006A3DFB">
      <w:pPr>
        <w:pStyle w:val="Lijstalinea"/>
        <w:rPr>
          <w:rFonts w:cs="Poppins"/>
          <w:szCs w:val="20"/>
        </w:rPr>
      </w:pPr>
      <w:r>
        <w:rPr>
          <w:rFonts w:cs="Poppins"/>
          <w:szCs w:val="20"/>
        </w:rPr>
        <w:t>Ja.</w:t>
      </w:r>
    </w:p>
    <w:p w14:paraId="6C962636" w14:textId="77777777" w:rsidR="006A3DFB" w:rsidRDefault="006A3DFB" w:rsidP="006A3DFB">
      <w:pPr>
        <w:pStyle w:val="Lijstalinea"/>
        <w:rPr>
          <w:rFonts w:cs="Poppins"/>
          <w:szCs w:val="20"/>
        </w:rPr>
      </w:pPr>
      <w:r>
        <w:rPr>
          <w:rFonts w:cs="Poppins"/>
          <w:szCs w:val="20"/>
        </w:rPr>
        <w:t xml:space="preserve"> </w:t>
      </w:r>
    </w:p>
    <w:p w14:paraId="5744DB41" w14:textId="77777777" w:rsidR="006A3DFB" w:rsidRPr="000C72FA" w:rsidRDefault="006A3DFB" w:rsidP="006A3DFB">
      <w:pPr>
        <w:pStyle w:val="Lijstalinea"/>
        <w:numPr>
          <w:ilvl w:val="0"/>
          <w:numId w:val="1"/>
        </w:numPr>
        <w:jc w:val="both"/>
        <w:rPr>
          <w:rFonts w:cs="Poppins"/>
          <w:b/>
          <w:bCs/>
          <w:szCs w:val="20"/>
        </w:rPr>
      </w:pPr>
      <w:r w:rsidRPr="000C72FA">
        <w:rPr>
          <w:rFonts w:cs="Poppins"/>
          <w:b/>
          <w:bCs/>
          <w:szCs w:val="20"/>
        </w:rPr>
        <w:t xml:space="preserve">De gegadigde kan met de middelen die hem daartoe nuttig voorkomen aantonen dat het ingediende project voldoet aan het selectiecriterium. Heeft u hier een format of eisen voor, aangezien u op pagina </w:t>
      </w:r>
      <w:proofErr w:type="gramStart"/>
      <w:r w:rsidRPr="000C72FA">
        <w:rPr>
          <w:rFonts w:cs="Poppins"/>
          <w:b/>
          <w:bCs/>
          <w:szCs w:val="20"/>
        </w:rPr>
        <w:t>12 /</w:t>
      </w:r>
      <w:proofErr w:type="gramEnd"/>
      <w:r w:rsidRPr="000C72FA">
        <w:rPr>
          <w:rFonts w:cs="Poppins"/>
          <w:b/>
          <w:bCs/>
          <w:szCs w:val="20"/>
        </w:rPr>
        <w:t xml:space="preserve"> 2.2 b. aangeeft dat de formats zoals opgenomen in de Bijlagen niet gewijzigd mogen worden.</w:t>
      </w:r>
    </w:p>
    <w:p w14:paraId="079C2D59" w14:textId="77777777" w:rsidR="006A3DFB" w:rsidRDefault="006A3DFB" w:rsidP="006A3DFB">
      <w:pPr>
        <w:pStyle w:val="Lijstalinea"/>
        <w:rPr>
          <w:rFonts w:cs="Poppins"/>
          <w:szCs w:val="20"/>
        </w:rPr>
      </w:pPr>
      <w:r w:rsidRPr="000C72FA">
        <w:rPr>
          <w:rFonts w:cs="Poppins"/>
          <w:szCs w:val="20"/>
        </w:rPr>
        <w:t xml:space="preserve">De formats </w:t>
      </w:r>
      <w:r>
        <w:rPr>
          <w:rFonts w:cs="Poppins"/>
          <w:szCs w:val="20"/>
        </w:rPr>
        <w:t>moeten gebruikt worden voor het verstrekken van de informatie die daarin is gevraagd. Als een gegadigde oordeelt dat verdere informatie nodig is om aan te tonen dat hij voldoet aan de betreffende eis, dan geldt daarvoor geen format. De te verstrekken informatie dient beperkt te worden tot relevante, nodige informatie. Dien geen (bedrijfs-)brochures of iets dergelijks in.</w:t>
      </w:r>
      <w:r w:rsidRPr="000C72FA">
        <w:rPr>
          <w:rFonts w:cs="Poppins"/>
          <w:szCs w:val="20"/>
        </w:rPr>
        <w:t xml:space="preserve"> </w:t>
      </w:r>
    </w:p>
    <w:p w14:paraId="0D8475EB" w14:textId="77777777" w:rsidR="006A3DFB" w:rsidRDefault="006A3DFB" w:rsidP="006A3DFB">
      <w:pPr>
        <w:pStyle w:val="Lijstalinea"/>
        <w:rPr>
          <w:rFonts w:cs="Poppins"/>
          <w:szCs w:val="20"/>
        </w:rPr>
      </w:pPr>
    </w:p>
    <w:p w14:paraId="2DAC6FE5" w14:textId="77777777" w:rsidR="006A3DFB" w:rsidRDefault="006A3DFB" w:rsidP="006A3DFB">
      <w:pPr>
        <w:pStyle w:val="Lijstalinea"/>
        <w:numPr>
          <w:ilvl w:val="0"/>
          <w:numId w:val="1"/>
        </w:numPr>
        <w:jc w:val="both"/>
        <w:rPr>
          <w:rFonts w:cs="Poppins"/>
          <w:b/>
          <w:bCs/>
          <w:szCs w:val="20"/>
        </w:rPr>
      </w:pPr>
      <w:r w:rsidRPr="000C72FA">
        <w:rPr>
          <w:rFonts w:cs="Poppins"/>
          <w:b/>
          <w:bCs/>
          <w:szCs w:val="20"/>
        </w:rPr>
        <w:t>Is bij een luchthaven de locatie achter de douane volgens u publiekstoegankelijk?</w:t>
      </w:r>
    </w:p>
    <w:p w14:paraId="4B4D6E85" w14:textId="77777777" w:rsidR="006A3DFB" w:rsidRDefault="006A3DFB" w:rsidP="006A3DFB">
      <w:pPr>
        <w:pStyle w:val="Lijstalinea"/>
        <w:rPr>
          <w:rFonts w:cs="Poppins"/>
          <w:szCs w:val="20"/>
        </w:rPr>
      </w:pPr>
      <w:r>
        <w:rPr>
          <w:rFonts w:cs="Poppins"/>
          <w:szCs w:val="20"/>
        </w:rPr>
        <w:t>Ja, wij vinden dit publiekstoegankelijk.</w:t>
      </w:r>
    </w:p>
    <w:p w14:paraId="7495C558" w14:textId="77777777" w:rsidR="006A3DFB" w:rsidRDefault="006A3DFB" w:rsidP="006A3DFB">
      <w:pPr>
        <w:pStyle w:val="Lijstalinea"/>
        <w:rPr>
          <w:rFonts w:cs="Poppins"/>
          <w:szCs w:val="20"/>
        </w:rPr>
      </w:pPr>
    </w:p>
    <w:p w14:paraId="30C0C9CA" w14:textId="77777777" w:rsidR="006A3DFB" w:rsidRPr="000C72FA" w:rsidRDefault="006A3DFB" w:rsidP="006A3DFB">
      <w:pPr>
        <w:pStyle w:val="Lijstalinea"/>
        <w:numPr>
          <w:ilvl w:val="0"/>
          <w:numId w:val="1"/>
        </w:numPr>
        <w:jc w:val="both"/>
        <w:rPr>
          <w:rFonts w:cs="Poppins"/>
          <w:b/>
          <w:bCs/>
          <w:szCs w:val="20"/>
        </w:rPr>
      </w:pPr>
      <w:r w:rsidRPr="000C72FA">
        <w:rPr>
          <w:rFonts w:cs="Poppins"/>
          <w:b/>
          <w:bCs/>
          <w:szCs w:val="20"/>
        </w:rPr>
        <w:t>U geeft aan dat voor kerncompetentie 1 het referentieproject een openbaar gebouw met minimaal 17.000 m2 publiekstoegankelijke delen moet zijn. Heeft u een overzicht met deze gegevens of kunt u aangeven waar dit te vinden is?</w:t>
      </w:r>
    </w:p>
    <w:p w14:paraId="6F0A17EE" w14:textId="77777777" w:rsidR="006A3DFB" w:rsidRDefault="006A3DFB" w:rsidP="006A3DFB">
      <w:pPr>
        <w:pStyle w:val="Lijstalinea"/>
        <w:rPr>
          <w:rFonts w:cs="Poppins"/>
          <w:szCs w:val="20"/>
        </w:rPr>
      </w:pPr>
      <w:r>
        <w:rPr>
          <w:rFonts w:cs="Poppins"/>
          <w:szCs w:val="20"/>
        </w:rPr>
        <w:t>Nee. Het gaat om de eigen referenties van de gegadigde. We gaan ervan uit dat u dan ook zelf beschikt over dergelijke informatie met betrekking tot uw eigen referenties.</w:t>
      </w:r>
    </w:p>
    <w:p w14:paraId="71450596" w14:textId="77777777" w:rsidR="006A3DFB" w:rsidRDefault="006A3DFB" w:rsidP="006A3DFB">
      <w:pPr>
        <w:pStyle w:val="Lijstalinea"/>
        <w:rPr>
          <w:rFonts w:cs="Poppins"/>
          <w:szCs w:val="20"/>
        </w:rPr>
      </w:pPr>
    </w:p>
    <w:p w14:paraId="7FF43CB5" w14:textId="77777777" w:rsidR="006A3DFB" w:rsidRPr="000C72FA" w:rsidRDefault="006A3DFB" w:rsidP="006A3DFB">
      <w:pPr>
        <w:pStyle w:val="Lijstalinea"/>
        <w:numPr>
          <w:ilvl w:val="0"/>
          <w:numId w:val="1"/>
        </w:numPr>
        <w:jc w:val="both"/>
        <w:rPr>
          <w:rFonts w:cs="Poppins"/>
          <w:b/>
          <w:bCs/>
          <w:szCs w:val="20"/>
        </w:rPr>
      </w:pPr>
      <w:r w:rsidRPr="000C72FA">
        <w:rPr>
          <w:rFonts w:cs="Poppins"/>
          <w:b/>
          <w:bCs/>
          <w:szCs w:val="20"/>
        </w:rPr>
        <w:t>Voor alle 3 de percelen geeft u aan dat de SLA ook bestaat uit het onderhouden van de decoraties. Wat verstaat u hieronder, zit hier ook het verhelpen van storingen bij in?</w:t>
      </w:r>
    </w:p>
    <w:p w14:paraId="57C9D746" w14:textId="77777777" w:rsidR="006A3DFB" w:rsidRDefault="006A3DFB" w:rsidP="006A3DFB">
      <w:pPr>
        <w:pStyle w:val="Lijstalinea"/>
        <w:rPr>
          <w:rFonts w:cs="Poppins"/>
          <w:szCs w:val="20"/>
        </w:rPr>
      </w:pPr>
      <w:r>
        <w:rPr>
          <w:rFonts w:cs="Poppins"/>
          <w:szCs w:val="20"/>
        </w:rPr>
        <w:t xml:space="preserve">Onder ‘onderhouden’ verstaan wij het repareren van storingen, maar ook het onderhouden van de decoraties wanneer deze zijn opgeslagen. Dus hierbij kunt u denken aan vervangen van kapotte onderdelen, schoonhouden van de decoratie en beschadigingen repareren. </w:t>
      </w:r>
    </w:p>
    <w:p w14:paraId="75548B71" w14:textId="77777777" w:rsidR="006A3DFB" w:rsidRDefault="006A3DFB" w:rsidP="006A3DFB">
      <w:pPr>
        <w:pStyle w:val="Lijstalinea"/>
        <w:rPr>
          <w:rFonts w:cs="Poppins"/>
          <w:szCs w:val="20"/>
        </w:rPr>
      </w:pPr>
    </w:p>
    <w:p w14:paraId="47766749" w14:textId="77777777" w:rsidR="006A3DFB" w:rsidRPr="0067279A" w:rsidRDefault="006A3DFB" w:rsidP="006A3DFB">
      <w:pPr>
        <w:pStyle w:val="Lijstalinea"/>
        <w:numPr>
          <w:ilvl w:val="0"/>
          <w:numId w:val="1"/>
        </w:numPr>
        <w:jc w:val="both"/>
        <w:rPr>
          <w:rFonts w:cs="Poppins"/>
          <w:b/>
          <w:bCs/>
          <w:szCs w:val="20"/>
        </w:rPr>
      </w:pPr>
      <w:r w:rsidRPr="0067279A">
        <w:rPr>
          <w:rFonts w:cs="Poppins"/>
          <w:b/>
          <w:bCs/>
          <w:szCs w:val="20"/>
        </w:rPr>
        <w:t xml:space="preserve">Er mag met de contactpersoon voor de aanbestedingsprocedure, Julia Bakker, uitsluitend via </w:t>
      </w:r>
      <w:proofErr w:type="spellStart"/>
      <w:r w:rsidRPr="0067279A">
        <w:rPr>
          <w:rFonts w:cs="Poppins"/>
          <w:b/>
          <w:bCs/>
          <w:szCs w:val="20"/>
        </w:rPr>
        <w:t>TenderNed</w:t>
      </w:r>
      <w:proofErr w:type="spellEnd"/>
      <w:r w:rsidRPr="0067279A">
        <w:rPr>
          <w:rFonts w:cs="Poppins"/>
          <w:b/>
          <w:bCs/>
          <w:szCs w:val="20"/>
        </w:rPr>
        <w:t xml:space="preserve"> contact opgenomen worden. Zij is ook de contactpersoon voor de huidige overeenkomst. Kunnen wij hiervoor gewoon contact met haar opnemen?</w:t>
      </w:r>
    </w:p>
    <w:p w14:paraId="24653177" w14:textId="77777777" w:rsidR="006A3DFB" w:rsidRPr="000C72FA" w:rsidRDefault="006A3DFB" w:rsidP="006A3DFB">
      <w:pPr>
        <w:pStyle w:val="Lijstalinea"/>
        <w:rPr>
          <w:rFonts w:cs="Poppins"/>
          <w:szCs w:val="20"/>
        </w:rPr>
      </w:pPr>
      <w:r>
        <w:rPr>
          <w:rFonts w:cs="Poppins"/>
          <w:szCs w:val="20"/>
        </w:rPr>
        <w:t xml:space="preserve">Voor de nieuwe aanbesteding kunt u slechts via </w:t>
      </w:r>
      <w:proofErr w:type="spellStart"/>
      <w:r>
        <w:rPr>
          <w:rFonts w:cs="Poppins"/>
          <w:szCs w:val="20"/>
        </w:rPr>
        <w:t>Tenderned</w:t>
      </w:r>
      <w:proofErr w:type="spellEnd"/>
      <w:r>
        <w:rPr>
          <w:rFonts w:cs="Poppins"/>
          <w:szCs w:val="20"/>
        </w:rPr>
        <w:t xml:space="preserve"> contact opnemen. Het is belangrijk dat alle informatie over de aanbesteding wordt gedeeld met alle geïnteresseerde bedrijven, dit houdt verband met het transparantiebeginsel. Alleen als contact via </w:t>
      </w:r>
      <w:proofErr w:type="spellStart"/>
      <w:r>
        <w:rPr>
          <w:rFonts w:cs="Poppins"/>
          <w:szCs w:val="20"/>
        </w:rPr>
        <w:t>Tenderned</w:t>
      </w:r>
      <w:proofErr w:type="spellEnd"/>
      <w:r>
        <w:rPr>
          <w:rFonts w:cs="Poppins"/>
          <w:szCs w:val="20"/>
        </w:rPr>
        <w:t xml:space="preserve"> niet mogelijk is (bijvoorbeeld vanwege een storing), of in een noodgeval, mag rechtstreeks contact opgenomen worden met Julia Bakker.</w:t>
      </w:r>
    </w:p>
    <w:p w14:paraId="0C7ECA2F" w14:textId="77777777" w:rsidR="00D91ED4" w:rsidRDefault="00D91ED4"/>
    <w:sectPr w:rsidR="00D91E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C3F77"/>
    <w:multiLevelType w:val="hybridMultilevel"/>
    <w:tmpl w:val="1BFC090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309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FB"/>
    <w:rsid w:val="00197255"/>
    <w:rsid w:val="00633BE5"/>
    <w:rsid w:val="006A3DFB"/>
    <w:rsid w:val="00C95B3D"/>
    <w:rsid w:val="00CB4921"/>
    <w:rsid w:val="00D91ED4"/>
    <w:rsid w:val="00E644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1F84ACC"/>
  <w15:chartTrackingRefBased/>
  <w15:docId w15:val="{5DB68599-20BE-B74E-87C0-DE7FF2DE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3DFB"/>
  </w:style>
  <w:style w:type="paragraph" w:styleId="Kop1">
    <w:name w:val="heading 1"/>
    <w:basedOn w:val="Standaard"/>
    <w:next w:val="Standaard"/>
    <w:link w:val="Kop1Char"/>
    <w:uiPriority w:val="9"/>
    <w:qFormat/>
    <w:rsid w:val="006A3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3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3D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3D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3D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3DF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3DF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3DF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3DF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3D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3D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3D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3D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3D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3D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3D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3D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3DFB"/>
    <w:rPr>
      <w:rFonts w:eastAsiaTheme="majorEastAsia" w:cstheme="majorBidi"/>
      <w:color w:val="272727" w:themeColor="text1" w:themeTint="D8"/>
    </w:rPr>
  </w:style>
  <w:style w:type="paragraph" w:styleId="Titel">
    <w:name w:val="Title"/>
    <w:basedOn w:val="Standaard"/>
    <w:next w:val="Standaard"/>
    <w:link w:val="TitelChar"/>
    <w:uiPriority w:val="10"/>
    <w:qFormat/>
    <w:rsid w:val="006A3DF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3D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3DF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3D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3DF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A3DFB"/>
    <w:rPr>
      <w:i/>
      <w:iCs/>
      <w:color w:val="404040" w:themeColor="text1" w:themeTint="BF"/>
    </w:rPr>
  </w:style>
  <w:style w:type="paragraph" w:styleId="Lijstalinea">
    <w:name w:val="List Paragraph"/>
    <w:basedOn w:val="Standaard"/>
    <w:link w:val="LijstalineaChar"/>
    <w:uiPriority w:val="99"/>
    <w:qFormat/>
    <w:rsid w:val="006A3DFB"/>
    <w:pPr>
      <w:ind w:left="720"/>
      <w:contextualSpacing/>
    </w:pPr>
  </w:style>
  <w:style w:type="character" w:styleId="Intensievebenadrukking">
    <w:name w:val="Intense Emphasis"/>
    <w:basedOn w:val="Standaardalinea-lettertype"/>
    <w:uiPriority w:val="21"/>
    <w:qFormat/>
    <w:rsid w:val="006A3DFB"/>
    <w:rPr>
      <w:i/>
      <w:iCs/>
      <w:color w:val="0F4761" w:themeColor="accent1" w:themeShade="BF"/>
    </w:rPr>
  </w:style>
  <w:style w:type="paragraph" w:styleId="Duidelijkcitaat">
    <w:name w:val="Intense Quote"/>
    <w:basedOn w:val="Standaard"/>
    <w:next w:val="Standaard"/>
    <w:link w:val="DuidelijkcitaatChar"/>
    <w:uiPriority w:val="30"/>
    <w:qFormat/>
    <w:rsid w:val="006A3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3DFB"/>
    <w:rPr>
      <w:i/>
      <w:iCs/>
      <w:color w:val="0F4761" w:themeColor="accent1" w:themeShade="BF"/>
    </w:rPr>
  </w:style>
  <w:style w:type="character" w:styleId="Intensieveverwijzing">
    <w:name w:val="Intense Reference"/>
    <w:basedOn w:val="Standaardalinea-lettertype"/>
    <w:uiPriority w:val="32"/>
    <w:qFormat/>
    <w:rsid w:val="006A3DFB"/>
    <w:rPr>
      <w:b/>
      <w:bCs/>
      <w:smallCaps/>
      <w:color w:val="0F4761" w:themeColor="accent1" w:themeShade="BF"/>
      <w:spacing w:val="5"/>
    </w:rPr>
  </w:style>
  <w:style w:type="character" w:customStyle="1" w:styleId="LijstalineaChar">
    <w:name w:val="Lijstalinea Char"/>
    <w:basedOn w:val="Standaardalinea-lettertype"/>
    <w:link w:val="Lijstalinea"/>
    <w:uiPriority w:val="99"/>
    <w:locked/>
    <w:rsid w:val="006A3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1972</Characters>
  <Application>Microsoft Office Word</Application>
  <DocSecurity>0</DocSecurity>
  <Lines>34</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Brauckmann I Brackmann</dc:creator>
  <cp:keywords/>
  <dc:description/>
  <cp:lastModifiedBy>Floor Brauckmann I Brackmann</cp:lastModifiedBy>
  <cp:revision>1</cp:revision>
  <dcterms:created xsi:type="dcterms:W3CDTF">2024-10-02T07:19:00Z</dcterms:created>
  <dcterms:modified xsi:type="dcterms:W3CDTF">2024-10-02T07:31:00Z</dcterms:modified>
</cp:coreProperties>
</file>