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A1CE5" w14:textId="77777777" w:rsidR="00E175AD" w:rsidRDefault="00E175AD" w:rsidP="00E175AD">
      <w:pPr>
        <w:rPr>
          <w:rStyle w:val="Kop1Char"/>
          <w:sz w:val="20"/>
        </w:rPr>
      </w:pPr>
      <w:r>
        <w:rPr>
          <w:rFonts w:ascii="DIN-Regular" w:hAnsi="DIN-Regular"/>
          <w:b/>
          <w:sz w:val="28"/>
          <w:szCs w:val="28"/>
        </w:rPr>
        <w:t>Bijlage Spelregels tijdens het aanbestedingstraject</w:t>
      </w:r>
    </w:p>
    <w:p w14:paraId="39935BFA"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rPr>
      </w:pPr>
      <w:bookmarkStart w:id="0" w:name="_Toc219880687"/>
      <w:bookmarkStart w:id="1" w:name="_Toc219882562"/>
      <w:bookmarkStart w:id="2" w:name="_Toc219884691"/>
      <w:bookmarkStart w:id="3" w:name="_Toc219885201"/>
      <w:bookmarkStart w:id="4" w:name="_Toc219886653"/>
      <w:bookmarkStart w:id="5" w:name="_Toc521403201"/>
      <w:r>
        <w:rPr>
          <w:rFonts w:ascii="DIN-Regular" w:hAnsi="DIN-Regular"/>
          <w:bCs/>
        </w:rPr>
        <w:t>Buiten beschouwing laten van de</w:t>
      </w:r>
      <w:bookmarkEnd w:id="0"/>
      <w:bookmarkEnd w:id="1"/>
      <w:bookmarkEnd w:id="2"/>
      <w:bookmarkEnd w:id="3"/>
      <w:bookmarkEnd w:id="4"/>
      <w:r>
        <w:rPr>
          <w:rFonts w:ascii="DIN-Regular" w:hAnsi="DIN-Regular"/>
          <w:bCs/>
        </w:rPr>
        <w:t xml:space="preserve"> inschrijving</w:t>
      </w:r>
      <w:bookmarkEnd w:id="5"/>
      <w:r>
        <w:rPr>
          <w:rFonts w:ascii="DIN-Regular" w:hAnsi="DIN-Regular"/>
          <w:bCs/>
        </w:rPr>
        <w:t xml:space="preserve"> </w:t>
      </w:r>
    </w:p>
    <w:p w14:paraId="653C570A" w14:textId="77777777" w:rsidR="00E175AD" w:rsidRDefault="00E175AD" w:rsidP="00E175AD">
      <w:pPr>
        <w:rPr>
          <w:sz w:val="20"/>
          <w:szCs w:val="20"/>
        </w:rPr>
      </w:pPr>
      <w:r>
        <w:rPr>
          <w:rFonts w:ascii="DIN-Regular" w:hAnsi="DIN-Regular"/>
          <w:sz w:val="20"/>
          <w:szCs w:val="20"/>
        </w:rPr>
        <w:t>Inschrijvingen worden ter zijde gelegd indien zij onregelmatig, onaanvaardbaar of niet geschikt zijn. Voor de opdracht komen alleen inschrijvers in aanmerking die zowel op het tijdstip van inschrijving als op de dag van gunning voldoen aan de eisen die in de aanbestedingsstukken zijn vermeld. De inschrijving dient volledig en consistent te zijn. Mocht blijken dat informatie ontbreekt of mocht blijken dat verstrekte informatie niet consistent is met de corresponderende documentatie of bijlagen, dan wel afwijkt van nadere informatie die ingewonnen wordt bij de inschrijver of van algemeen bekende marktinformatie, dan behoudt de gemeente zich het recht voor om een inschrijver uit te sluiten van verdere deelname aan de procedure. Inschrijvers dienen zorgvuldigheid te betrachten bij het opmaken van hun inschrijving, het invullen en bijvoegen van bijlagen en het (rechtsgeldig) ondertekenen van e.e.a. De gemeente is bevoegd bij eenvoudige preciseringen en kennelijke materiële fouten een herstelmogelijkheid te bieden.</w:t>
      </w:r>
    </w:p>
    <w:p w14:paraId="56E416F0" w14:textId="77777777" w:rsidR="00E175AD" w:rsidRDefault="00E175AD" w:rsidP="00E175AD">
      <w:pPr>
        <w:pStyle w:val="Kop2"/>
        <w:numPr>
          <w:ilvl w:val="0"/>
          <w:numId w:val="2"/>
        </w:numPr>
        <w:tabs>
          <w:tab w:val="left" w:pos="708"/>
        </w:tabs>
        <w:spacing w:line="240" w:lineRule="auto"/>
        <w:ind w:left="284" w:hanging="284"/>
        <w:jc w:val="left"/>
        <w:rPr>
          <w:rFonts w:ascii="DIN-Regular" w:hAnsi="DIN-Regular"/>
          <w:bCs/>
        </w:rPr>
      </w:pPr>
      <w:bookmarkStart w:id="6" w:name="_Toc219884673"/>
      <w:bookmarkStart w:id="7" w:name="_Toc219885183"/>
      <w:bookmarkStart w:id="8" w:name="_Toc219886635"/>
      <w:bookmarkStart w:id="9" w:name="_Toc426018269"/>
      <w:bookmarkStart w:id="10" w:name="_Toc521403202"/>
      <w:r>
        <w:rPr>
          <w:rFonts w:ascii="DIN-Regular" w:hAnsi="DIN-Regular"/>
          <w:bCs/>
        </w:rPr>
        <w:t>Openbaarheid geoffreerde prijzen</w:t>
      </w:r>
      <w:bookmarkEnd w:id="6"/>
      <w:bookmarkEnd w:id="7"/>
      <w:bookmarkEnd w:id="8"/>
      <w:bookmarkEnd w:id="9"/>
      <w:bookmarkEnd w:id="10"/>
    </w:p>
    <w:p w14:paraId="0750DC25" w14:textId="77777777" w:rsidR="00E175AD" w:rsidRDefault="00E175AD" w:rsidP="00E175AD">
      <w:pPr>
        <w:rPr>
          <w:rFonts w:ascii="DIN-Regular" w:hAnsi="DIN-Regular"/>
          <w:sz w:val="20"/>
          <w:szCs w:val="20"/>
        </w:rPr>
      </w:pPr>
      <w:r>
        <w:rPr>
          <w:rFonts w:ascii="DIN-Regular" w:hAnsi="DIN-Regular"/>
          <w:sz w:val="20"/>
          <w:szCs w:val="20"/>
        </w:rPr>
        <w:t>De gemeente wordt regelmatig door inschrijvers, nadat de gunningsbeslissing aan hen is medegedeeld, verzocht informatie te geven over de geoffreerde prijzen. Enerzijds omdat men dan de scores kan nagaan, anderzijds omdat men wil weten hoe de eigen inschrijving qua prijs in de markt ligt. Om aan deze wens van openbaarheid prijzen tegemoet te komen zullen wij de punten van het totaal van het (sub)gunningscriterium prijs bekend maken en vermelden in de mededeling van de gunningsbeslissing. Bij gunning op basis van ‘de laagste prijs’ wordt de inschrijvingsprijs (totaal) bekend gemaakt.</w:t>
      </w:r>
    </w:p>
    <w:p w14:paraId="441A1A95" w14:textId="77777777" w:rsidR="00E175AD" w:rsidRDefault="00E175AD" w:rsidP="00E175AD">
      <w:pPr>
        <w:pStyle w:val="Kop2"/>
        <w:numPr>
          <w:ilvl w:val="0"/>
          <w:numId w:val="2"/>
        </w:numPr>
        <w:tabs>
          <w:tab w:val="left" w:pos="708"/>
        </w:tabs>
        <w:spacing w:line="240" w:lineRule="auto"/>
        <w:ind w:left="284" w:hanging="284"/>
        <w:jc w:val="left"/>
        <w:rPr>
          <w:rFonts w:ascii="DIN-Regular" w:hAnsi="DIN-Regular"/>
        </w:rPr>
      </w:pPr>
      <w:bookmarkStart w:id="11" w:name="_Toc521403203"/>
      <w:r>
        <w:rPr>
          <w:rFonts w:ascii="DIN-Regular" w:hAnsi="DIN-Regular"/>
        </w:rPr>
        <w:t>Vertrouwelijkheid en auteursrecht</w:t>
      </w:r>
      <w:bookmarkEnd w:id="11"/>
    </w:p>
    <w:p w14:paraId="387AA73D" w14:textId="77777777" w:rsidR="00E175AD" w:rsidRDefault="00E175AD" w:rsidP="00E175AD">
      <w:pPr>
        <w:rPr>
          <w:rFonts w:ascii="DIN-Regular" w:hAnsi="DIN-Regular"/>
          <w:sz w:val="20"/>
          <w:szCs w:val="20"/>
        </w:rPr>
      </w:pPr>
      <w:r>
        <w:rPr>
          <w:rFonts w:ascii="DIN-Regular" w:hAnsi="DIN-Regular"/>
          <w:sz w:val="20"/>
          <w:szCs w:val="20"/>
        </w:rPr>
        <w:t xml:space="preserve">Alle documentatie en informatie die in het kader van de aanbesteding verstrekt wordt, is vertrouwelijk. De inschrijver zal geheimhouding verzekeren met betrekking tot alle documentatie en informatie. De inschrijver erkent dat de relatie met de gemeente in het kader van deze aanbesteding een vertrouwelijk karakter draagt. De inschrijver zal het bestaan en de inhoud van deze relatie niet aan derden bekendmaken. inschrijvers zullen de verplichtingen inzake vertrouwelijkheid ook opleggen aan de door hen in te schakelen medewerkers, partijen en adviseurs. inschrijvers zullen ervoor zorg dragen, dat alleen personen kennis van de documentatie en informatie krijgen waarvoor dit noodzakelijk is om een inschrijving uit te brengen. De gemeente heeft het auteursrecht op de documentatie. </w:t>
      </w:r>
    </w:p>
    <w:p w14:paraId="546E9238" w14:textId="77777777" w:rsidR="00E175AD" w:rsidRDefault="00E175AD" w:rsidP="00E175AD">
      <w:pPr>
        <w:rPr>
          <w:rFonts w:ascii="DIN-Regular" w:hAnsi="DIN-Regular"/>
          <w:sz w:val="20"/>
          <w:szCs w:val="20"/>
        </w:rPr>
      </w:pPr>
    </w:p>
    <w:p w14:paraId="30EC5DFD" w14:textId="77777777" w:rsidR="00E175AD" w:rsidRDefault="00E175AD" w:rsidP="00E175AD">
      <w:pPr>
        <w:rPr>
          <w:rFonts w:ascii="DIN-Regular" w:hAnsi="DIN-Regular"/>
          <w:sz w:val="20"/>
          <w:szCs w:val="20"/>
        </w:rPr>
      </w:pPr>
      <w:r>
        <w:rPr>
          <w:rFonts w:ascii="DIN-Regular" w:hAnsi="DIN-Regular"/>
          <w:sz w:val="20"/>
          <w:szCs w:val="20"/>
        </w:rPr>
        <w:t>Openbaarmaking van de documentatie is altijd voorbehouden aan de gemeente. De gemeente is niet verplicht interne (</w:t>
      </w:r>
      <w:proofErr w:type="spellStart"/>
      <w:r>
        <w:rPr>
          <w:rFonts w:ascii="DIN-Regular" w:hAnsi="DIN-Regular"/>
          <w:sz w:val="20"/>
          <w:szCs w:val="20"/>
        </w:rPr>
        <w:t>aanbestedings</w:t>
      </w:r>
      <w:proofErr w:type="spellEnd"/>
      <w:r>
        <w:rPr>
          <w:rFonts w:ascii="DIN-Regular" w:hAnsi="DIN-Regular"/>
          <w:sz w:val="20"/>
          <w:szCs w:val="20"/>
        </w:rPr>
        <w:t>)documenten zoals resultaten van evaluaties, adviezen aangaande kwalificatie en gunning aan inschrijvers bekend te maken. Echter, het is inschrijver bekend dat de gemeente gehouden is aan verplichtingen die voortvloeien uit de (Wet) openbaarheid van bestuur. Nakoming van één of meer van deze verplichtingen houdt in geen geval schending van geheimhouding of vertrouwelijkheid in.</w:t>
      </w:r>
      <w:bookmarkStart w:id="12" w:name="_Toc219884668"/>
      <w:bookmarkStart w:id="13" w:name="_Toc219885178"/>
      <w:bookmarkStart w:id="14" w:name="_Toc219886630"/>
    </w:p>
    <w:p w14:paraId="76DE7F1C" w14:textId="77777777" w:rsidR="00E175AD" w:rsidRDefault="00E175AD" w:rsidP="00E175AD">
      <w:pPr>
        <w:pStyle w:val="Kop2"/>
        <w:numPr>
          <w:ilvl w:val="0"/>
          <w:numId w:val="2"/>
        </w:numPr>
        <w:tabs>
          <w:tab w:val="left" w:pos="708"/>
        </w:tabs>
        <w:spacing w:line="240" w:lineRule="auto"/>
        <w:ind w:left="284" w:hanging="284"/>
        <w:jc w:val="left"/>
        <w:rPr>
          <w:rFonts w:ascii="DIN-Regular" w:hAnsi="DIN-Regular"/>
        </w:rPr>
      </w:pPr>
      <w:bookmarkStart w:id="15" w:name="_Toc521403204"/>
      <w:r>
        <w:rPr>
          <w:rStyle w:val="Kop3Char"/>
          <w:rFonts w:ascii="DIN-Regular" w:hAnsi="DIN-Regular"/>
          <w:bCs/>
        </w:rPr>
        <w:t>Aanspraken op gunning of vergoeding aan de inschrijvers</w:t>
      </w:r>
      <w:bookmarkEnd w:id="12"/>
      <w:bookmarkEnd w:id="13"/>
      <w:bookmarkEnd w:id="14"/>
      <w:bookmarkEnd w:id="15"/>
    </w:p>
    <w:p w14:paraId="50BF4AF5" w14:textId="77777777" w:rsidR="00E175AD" w:rsidRDefault="00E175AD" w:rsidP="00E175AD">
      <w:pPr>
        <w:rPr>
          <w:rFonts w:ascii="DIN-Regular" w:hAnsi="DIN-Regular"/>
          <w:sz w:val="20"/>
          <w:szCs w:val="20"/>
        </w:rPr>
      </w:pPr>
      <w:r>
        <w:rPr>
          <w:rFonts w:ascii="DIN-Regular" w:hAnsi="DIN-Regular"/>
          <w:sz w:val="20"/>
          <w:szCs w:val="20"/>
        </w:rPr>
        <w:t>Inschrijvingen worden kosteloos ingediend. De gemeente is niet verplicht te gunnen. Aan een besluit om niet te gunnen en aan een verzoek tot aanvulling van de inschrijving of aan andere mededelingen of gedragingen van de gemeente voorafgaand aan het gunningbesluit, kunnen door inschrijvers geen aanspraken op de opdracht, verlies aan referentie, gederfde winst of andere schade jegens de gemeente worden ontleend. De gemeente behoudt zich te allen tijde het recht voor de aanbestedingsprocedure stop te zetten met opgaaf van reden.</w:t>
      </w:r>
    </w:p>
    <w:p w14:paraId="55AB8786" w14:textId="77777777" w:rsidR="00E175AD" w:rsidRDefault="00E175AD" w:rsidP="00E175AD">
      <w:pPr>
        <w:rPr>
          <w:rFonts w:ascii="DIN-Regular" w:hAnsi="DIN-Regular"/>
          <w:sz w:val="20"/>
          <w:szCs w:val="20"/>
        </w:rPr>
      </w:pPr>
    </w:p>
    <w:p w14:paraId="307AF673" w14:textId="77777777" w:rsidR="00E175AD" w:rsidRDefault="00E175AD" w:rsidP="00E175AD">
      <w:pPr>
        <w:rPr>
          <w:rFonts w:ascii="DIN-Regular" w:hAnsi="DIN-Regular"/>
          <w:color w:val="0000FF"/>
          <w:sz w:val="20"/>
          <w:szCs w:val="20"/>
        </w:rPr>
      </w:pPr>
      <w:r>
        <w:rPr>
          <w:rFonts w:ascii="DIN-Regular" w:hAnsi="DIN-Regular"/>
          <w:b/>
          <w:color w:val="0000FF"/>
          <w:sz w:val="20"/>
          <w:szCs w:val="20"/>
        </w:rPr>
        <w:t>Optioneel:</w:t>
      </w:r>
      <w:r>
        <w:rPr>
          <w:rFonts w:ascii="DIN-Regular" w:hAnsi="DIN-Regular"/>
          <w:color w:val="0000FF"/>
          <w:sz w:val="20"/>
          <w:szCs w:val="20"/>
        </w:rPr>
        <w:t xml:space="preserve"> Er wordt een tenderkostenvergoeding toegekend aan geldige inschrijvingen, met uitzondering van de winnaar(s). De hoogte van deze tenderkostenvergoeding bedraagt  €###.###,-. </w:t>
      </w:r>
      <w:r>
        <w:rPr>
          <w:rFonts w:ascii="DIN-Regular" w:hAnsi="DIN-Regular"/>
          <w:color w:val="0000FF"/>
          <w:sz w:val="20"/>
          <w:szCs w:val="20"/>
        </w:rPr>
        <w:lastRenderedPageBreak/>
        <w:t xml:space="preserve">Deze vergoeding is vooral bedoeld om tegemoet te komen in de gemaakte kosten voor het uitwerken van de gunningswensen en dekt daarmee niet alle kosten die inschrijvers maken. </w:t>
      </w:r>
    </w:p>
    <w:p w14:paraId="784D5A4A" w14:textId="77777777" w:rsidR="00E175AD" w:rsidRDefault="00E175AD" w:rsidP="00E175AD">
      <w:pPr>
        <w:rPr>
          <w:rFonts w:ascii="DIN-Regular" w:hAnsi="DIN-Regular"/>
          <w:sz w:val="20"/>
          <w:szCs w:val="20"/>
        </w:rPr>
      </w:pPr>
    </w:p>
    <w:p w14:paraId="4A8DB1C8" w14:textId="77777777" w:rsidR="00E175AD" w:rsidRDefault="00E175AD" w:rsidP="00E175AD">
      <w:pPr>
        <w:rPr>
          <w:rFonts w:ascii="DIN-Regular" w:hAnsi="DIN-Regular"/>
          <w:color w:val="0000FF"/>
          <w:sz w:val="20"/>
          <w:szCs w:val="20"/>
          <w:highlight w:val="lightGray"/>
        </w:rPr>
      </w:pPr>
      <w:r>
        <w:rPr>
          <w:rFonts w:ascii="DIN-Regular" w:hAnsi="DIN-Regular"/>
          <w:b/>
          <w:color w:val="0000FF"/>
          <w:sz w:val="20"/>
          <w:szCs w:val="20"/>
          <w:highlight w:val="lightGray"/>
        </w:rPr>
        <w:t>Toelichting</w:t>
      </w:r>
      <w:r>
        <w:rPr>
          <w:rFonts w:ascii="DIN-Regular" w:hAnsi="DIN-Regular"/>
          <w:color w:val="0000FF"/>
          <w:sz w:val="20"/>
          <w:szCs w:val="20"/>
          <w:highlight w:val="lightGray"/>
        </w:rPr>
        <w:t xml:space="preserve">: Een tenderkostenvergoeding niet gebruiken bij aanbestedingen met laagste prijs en wanneer geen sprake is van een extreme inspanning aan de zijde van inschrijvers in het kader van de gunning. Voor meer informatie zie ‘handreiking-tenderkostenvergoeding.pdf’. </w:t>
      </w:r>
    </w:p>
    <w:p w14:paraId="38EA2AE3" w14:textId="77777777" w:rsidR="00E175AD" w:rsidRDefault="00E175AD" w:rsidP="00E175AD">
      <w:pPr>
        <w:rPr>
          <w:rFonts w:ascii="DIN-Regular" w:hAnsi="DIN-Regular"/>
          <w:sz w:val="20"/>
          <w:szCs w:val="20"/>
        </w:rPr>
      </w:pPr>
    </w:p>
    <w:p w14:paraId="0A7C0928"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bCs/>
        </w:rPr>
      </w:pPr>
      <w:bookmarkStart w:id="16" w:name="_Toc219884670"/>
      <w:bookmarkStart w:id="17" w:name="_Toc219885180"/>
      <w:bookmarkStart w:id="18" w:name="_Toc219886632"/>
      <w:bookmarkStart w:id="19" w:name="_Toc521403205"/>
      <w:r>
        <w:rPr>
          <w:rStyle w:val="Kop3Char"/>
          <w:rFonts w:ascii="DIN-Regular" w:hAnsi="DIN-Regular"/>
          <w:bCs/>
        </w:rPr>
        <w:t>Toepasselijk recht en geschillen</w:t>
      </w:r>
      <w:bookmarkEnd w:id="16"/>
      <w:bookmarkEnd w:id="17"/>
      <w:bookmarkEnd w:id="18"/>
      <w:bookmarkEnd w:id="19"/>
      <w:r>
        <w:rPr>
          <w:rStyle w:val="Kop3Char"/>
          <w:rFonts w:ascii="DIN-Regular" w:hAnsi="DIN-Regular"/>
          <w:bCs/>
        </w:rPr>
        <w:t xml:space="preserve"> </w:t>
      </w:r>
    </w:p>
    <w:p w14:paraId="5377E9F8" w14:textId="77777777" w:rsidR="00E175AD" w:rsidRDefault="00E175AD" w:rsidP="00E175AD">
      <w:pPr>
        <w:rPr>
          <w:sz w:val="20"/>
          <w:szCs w:val="20"/>
        </w:rPr>
      </w:pPr>
      <w:r>
        <w:rPr>
          <w:rFonts w:ascii="DIN-Regular" w:hAnsi="DIN-Regular"/>
          <w:sz w:val="20"/>
          <w:szCs w:val="20"/>
        </w:rPr>
        <w:t>Op de aanbestedingsprocedure, de gunning, de overeenkomst en eventuele geschillen is uitsluitend Nederlands recht van toepassing. Geschillen tussen de bij de aanbesteding betrokkenen partijen die ontstaan naar aanleiding van de onderhavige aanbesteding, dienen te worden voorgelegd aan de bevoegde rechter in het arrondissement ‘Midden-Nederland’.</w:t>
      </w:r>
    </w:p>
    <w:p w14:paraId="3A57AFE7"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bCs/>
        </w:rPr>
      </w:pPr>
      <w:bookmarkStart w:id="20" w:name="_Toc521403206"/>
      <w:r>
        <w:rPr>
          <w:rStyle w:val="Kop3Char"/>
          <w:rFonts w:ascii="DIN-Regular" w:hAnsi="DIN-Regular"/>
          <w:bCs/>
        </w:rPr>
        <w:t>Geschillen lopende de aanbesteding</w:t>
      </w:r>
      <w:bookmarkEnd w:id="20"/>
    </w:p>
    <w:p w14:paraId="5103FE78" w14:textId="77777777" w:rsidR="00E175AD" w:rsidRDefault="00E175AD" w:rsidP="00E175AD">
      <w:pPr>
        <w:rPr>
          <w:sz w:val="20"/>
          <w:szCs w:val="20"/>
        </w:rPr>
      </w:pPr>
      <w:bookmarkStart w:id="21" w:name="_Toc521403207"/>
      <w:r>
        <w:rPr>
          <w:rFonts w:ascii="DIN-Regular" w:hAnsi="DIN-Regular"/>
          <w:sz w:val="20"/>
          <w:szCs w:val="20"/>
        </w:rPr>
        <w:t>Deze offerteaanvraag met alle bijbehorende stukken is met zorg samengesteld. Mocht de inschrijver hierin, maar ook in de aankondiging of in vervolgdocumenten in de procedure of in de procedure zelf (inclusief de keuze voor de desbetreffende procedure, de inrichting van de opdracht e.d.) etc. desondanks tegenstrijdigheden, onvolkomenheden, onjuistheden, etc. tegenkomen, inclusief al dan niet inhoudelijke punten waarover de inschrijver ernstig van mening verschilt, dan dient de gemeente hiervan zo spoedig mogelijk schriftelijk op de hoogte te worden gesteld, via de vragen ten behoeve van de nota(’s) van inlichtingen. Indien dit niet tijdig door de inschrijver is doorgegeven, is dit voor risico van de inschrijver.</w:t>
      </w:r>
    </w:p>
    <w:p w14:paraId="21461B5C" w14:textId="77777777" w:rsidR="00E175AD" w:rsidRDefault="00E175AD" w:rsidP="00E175AD">
      <w:pPr>
        <w:rPr>
          <w:rFonts w:ascii="DIN-Regular" w:hAnsi="DIN-Regular"/>
          <w:sz w:val="20"/>
          <w:szCs w:val="20"/>
        </w:rPr>
      </w:pPr>
    </w:p>
    <w:p w14:paraId="19946321" w14:textId="77777777" w:rsidR="00E175AD" w:rsidRDefault="00E175AD" w:rsidP="00E175AD">
      <w:pPr>
        <w:rPr>
          <w:rFonts w:ascii="DIN-Regular" w:hAnsi="DIN-Regular"/>
          <w:sz w:val="20"/>
          <w:szCs w:val="20"/>
        </w:rPr>
      </w:pPr>
      <w:r>
        <w:rPr>
          <w:rFonts w:ascii="DIN-Regular" w:hAnsi="DIN-Regular"/>
          <w:sz w:val="20"/>
          <w:szCs w:val="20"/>
        </w:rPr>
        <w:t xml:space="preserve">Daarenboven hanteert de gemeente een algemene vervaltermijn: indien de inschrijver niet uiterlijk voor het moment van inschrijving via de berichtenmodule in TenderNed een bericht stuurt onder vermelding van een titel “bezwaar” over een aspect zoals hiervóór bedoeld, kan </w:t>
      </w:r>
      <w:proofErr w:type="spellStart"/>
      <w:r>
        <w:rPr>
          <w:rFonts w:ascii="DIN-Regular" w:hAnsi="DIN-Regular"/>
          <w:sz w:val="20"/>
          <w:szCs w:val="20"/>
        </w:rPr>
        <w:t>terzake</w:t>
      </w:r>
      <w:proofErr w:type="spellEnd"/>
      <w:r>
        <w:rPr>
          <w:rFonts w:ascii="DIN-Regular" w:hAnsi="DIN-Regular"/>
          <w:sz w:val="20"/>
          <w:szCs w:val="20"/>
        </w:rPr>
        <w:t xml:space="preserve"> niet meer in rechte worden opgekomen. Dit bericht dient een concrete onderbouwing te bevatten met de aard en grondslag van het bezwaar. De inschrijver gaat via indiening van zijn inschrijving akkoord met dit verval van recht.</w:t>
      </w:r>
    </w:p>
    <w:p w14:paraId="6CABA022" w14:textId="77777777" w:rsidR="00E175AD" w:rsidRDefault="00E175AD" w:rsidP="00E175AD">
      <w:pPr>
        <w:rPr>
          <w:rFonts w:ascii="DIN-Regular" w:hAnsi="DIN-Regular"/>
          <w:sz w:val="20"/>
          <w:szCs w:val="20"/>
        </w:rPr>
      </w:pPr>
    </w:p>
    <w:p w14:paraId="0F2B2C92" w14:textId="77777777" w:rsidR="00E175AD" w:rsidRDefault="00E175AD" w:rsidP="00E175AD">
      <w:pPr>
        <w:rPr>
          <w:rFonts w:ascii="DIN-Regular" w:hAnsi="DIN-Regular"/>
          <w:sz w:val="20"/>
          <w:szCs w:val="20"/>
        </w:rPr>
      </w:pPr>
      <w:r>
        <w:rPr>
          <w:rFonts w:ascii="DIN-Regular" w:hAnsi="DIN-Regular"/>
          <w:sz w:val="20"/>
          <w:szCs w:val="20"/>
        </w:rPr>
        <w:t>Dit is slechts een uiterste termijn, het ligt op de weg van inschrijver om de contactpersoon van de gemeente onverwijld op de hoogte te stellen, indien en zodra duidelijk is dat inschrijver en gemeente over een of meer essentiële punten van mening verschillen.</w:t>
      </w:r>
    </w:p>
    <w:p w14:paraId="06598607" w14:textId="77777777" w:rsidR="00E175AD" w:rsidRDefault="00E175AD" w:rsidP="00E175AD">
      <w:pPr>
        <w:rPr>
          <w:rFonts w:ascii="DIN-Regular" w:hAnsi="DIN-Regular"/>
          <w:sz w:val="20"/>
          <w:szCs w:val="20"/>
        </w:rPr>
      </w:pPr>
    </w:p>
    <w:p w14:paraId="33777BBB" w14:textId="77777777" w:rsidR="00E175AD" w:rsidRDefault="00E175AD" w:rsidP="00E175AD">
      <w:pPr>
        <w:rPr>
          <w:rFonts w:ascii="DIN-Regular" w:hAnsi="DIN-Regular"/>
          <w:sz w:val="20"/>
          <w:szCs w:val="20"/>
        </w:rPr>
      </w:pPr>
      <w:r>
        <w:rPr>
          <w:rFonts w:ascii="DIN-Regular" w:hAnsi="DIN-Regular"/>
          <w:sz w:val="20"/>
          <w:szCs w:val="20"/>
        </w:rPr>
        <w:t xml:space="preserve">De gemeente handelt ten aanzien van de voortgang van de aanbestedingsprocedure naar bevind van zaken. </w:t>
      </w:r>
    </w:p>
    <w:p w14:paraId="09D28FD3"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rPr>
      </w:pPr>
      <w:r>
        <w:rPr>
          <w:rStyle w:val="Kop3Char"/>
          <w:rFonts w:ascii="DIN-Regular" w:hAnsi="DIN-Regular"/>
        </w:rPr>
        <w:t>Geschillen na gunning</w:t>
      </w:r>
      <w:bookmarkEnd w:id="21"/>
    </w:p>
    <w:p w14:paraId="6DE451CA" w14:textId="77777777" w:rsidR="00E175AD" w:rsidRDefault="00E175AD" w:rsidP="00E175AD">
      <w:pPr>
        <w:rPr>
          <w:sz w:val="20"/>
          <w:szCs w:val="20"/>
        </w:rPr>
      </w:pPr>
      <w:r>
        <w:rPr>
          <w:rFonts w:ascii="DIN-Regular" w:hAnsi="DIN-Regular"/>
          <w:sz w:val="20"/>
          <w:szCs w:val="20"/>
        </w:rPr>
        <w:t>Deze offerteaanvraag met alle bijbehorende stukken is met zorg samengesteld. Mocht de inschrijver hierin, maar ook in de aankondiging of in vervolgdocumenten in de procedure of in de procedure zelf (inclusief de keuze voor de desbetreffende procedure, de inrichting van de opdracht e.d.) etc. desondanks tegenstrijdigheden, onvolkomenheden, onjuistheden, etc. tegenkomen, inclusief al dan niet inhoudelijke punten waarover de inschrijver ernstig van mening verschilt, dan dient de gemeente hiervan zo spoedig mogelijk schriftelijk op de hoogte te worden gesteld, via de vragen ten behoeve van de nota(’s) van inlichtingen. Indien dit niet tijdig door de inschrijver is doorgegeven, is dit voor risico van de inschrijver.</w:t>
      </w:r>
    </w:p>
    <w:p w14:paraId="6B229ECD" w14:textId="77777777" w:rsidR="00E175AD" w:rsidRDefault="00E175AD" w:rsidP="00E175AD">
      <w:pPr>
        <w:rPr>
          <w:rFonts w:ascii="DIN-Regular" w:hAnsi="DIN-Regular"/>
          <w:sz w:val="20"/>
          <w:szCs w:val="20"/>
        </w:rPr>
      </w:pPr>
    </w:p>
    <w:p w14:paraId="2A331862" w14:textId="77777777" w:rsidR="00E175AD" w:rsidRDefault="00E175AD" w:rsidP="00E175AD">
      <w:pPr>
        <w:rPr>
          <w:rFonts w:ascii="DIN-Regular" w:hAnsi="DIN-Regular"/>
          <w:sz w:val="20"/>
          <w:szCs w:val="20"/>
        </w:rPr>
      </w:pPr>
      <w:r>
        <w:rPr>
          <w:rFonts w:ascii="DIN-Regular" w:hAnsi="DIN-Regular"/>
          <w:sz w:val="20"/>
          <w:szCs w:val="20"/>
        </w:rPr>
        <w:t xml:space="preserve">Daarenboven hanteert de gemeente een algemene vervaltermijn: indien de inschrijver niet uiterlijk voor het moment van inschrijving via de berichtenmodule in TenderNed een bericht stuurt onder vermelding van een titel “bezwaar” over een aspect zoals hiervóór bedoeld, kan </w:t>
      </w:r>
      <w:proofErr w:type="spellStart"/>
      <w:r>
        <w:rPr>
          <w:rFonts w:ascii="DIN-Regular" w:hAnsi="DIN-Regular"/>
          <w:sz w:val="20"/>
          <w:szCs w:val="20"/>
        </w:rPr>
        <w:t>terzake</w:t>
      </w:r>
      <w:proofErr w:type="spellEnd"/>
      <w:r>
        <w:rPr>
          <w:rFonts w:ascii="DIN-Regular" w:hAnsi="DIN-Regular"/>
          <w:sz w:val="20"/>
          <w:szCs w:val="20"/>
        </w:rPr>
        <w:t xml:space="preserve"> niet meer in rechte worden opgekomen. Dit bericht dient een concrete onderbouwing te bevatten met de aard en </w:t>
      </w:r>
      <w:r>
        <w:rPr>
          <w:rFonts w:ascii="DIN-Regular" w:hAnsi="DIN-Regular"/>
          <w:sz w:val="20"/>
          <w:szCs w:val="20"/>
        </w:rPr>
        <w:lastRenderedPageBreak/>
        <w:t>grondslag van het bezwaar. De inschrijver gaat via indiening van zijn inschrijving akkoord met dit verval van recht.</w:t>
      </w:r>
    </w:p>
    <w:p w14:paraId="053B2F76" w14:textId="77777777" w:rsidR="00E175AD" w:rsidRDefault="00E175AD" w:rsidP="00E175AD">
      <w:pPr>
        <w:rPr>
          <w:rFonts w:ascii="DIN-Regular" w:hAnsi="DIN-Regular"/>
          <w:sz w:val="20"/>
          <w:szCs w:val="20"/>
        </w:rPr>
      </w:pPr>
    </w:p>
    <w:p w14:paraId="4A987CC3" w14:textId="77777777" w:rsidR="00E175AD" w:rsidRDefault="00E175AD" w:rsidP="00E175AD">
      <w:pPr>
        <w:rPr>
          <w:rFonts w:ascii="DIN-Regular" w:hAnsi="DIN-Regular"/>
          <w:sz w:val="20"/>
          <w:szCs w:val="20"/>
        </w:rPr>
      </w:pPr>
      <w:r>
        <w:rPr>
          <w:rFonts w:ascii="DIN-Regular" w:hAnsi="DIN-Regular"/>
          <w:sz w:val="20"/>
          <w:szCs w:val="20"/>
        </w:rPr>
        <w:t>Dit is slechts een uiterste termijn, het ligt op de weg van inschrijver om de contactpersoon van de gemeente onverwijld op de hoogte te stellen, indien en zodra duidelijk is dat inschrijver en gemeente over een of meer essentiële punten van mening verschillen.</w:t>
      </w:r>
    </w:p>
    <w:p w14:paraId="56F715D6" w14:textId="77777777" w:rsidR="00E175AD" w:rsidRDefault="00E175AD" w:rsidP="00E175AD">
      <w:pPr>
        <w:rPr>
          <w:rFonts w:ascii="DIN-Regular" w:hAnsi="DIN-Regular"/>
          <w:sz w:val="20"/>
          <w:szCs w:val="20"/>
        </w:rPr>
      </w:pPr>
    </w:p>
    <w:p w14:paraId="600D9A24" w14:textId="77777777" w:rsidR="00E175AD" w:rsidRDefault="00E175AD" w:rsidP="00E175AD">
      <w:pPr>
        <w:rPr>
          <w:rFonts w:ascii="DIN-Regular" w:hAnsi="DIN-Regular"/>
          <w:sz w:val="20"/>
          <w:szCs w:val="20"/>
        </w:rPr>
      </w:pPr>
      <w:r>
        <w:rPr>
          <w:rFonts w:ascii="DIN-Regular" w:hAnsi="DIN-Regular"/>
          <w:sz w:val="20"/>
          <w:szCs w:val="20"/>
        </w:rPr>
        <w:t>De gemeente handelt ten aanzien van de voortgang van de aanbestedingsprocedure naar bevind van zaken.</w:t>
      </w:r>
    </w:p>
    <w:p w14:paraId="04DF4A66" w14:textId="77777777" w:rsidR="00E175AD" w:rsidRDefault="00E175AD" w:rsidP="00E175AD">
      <w:pPr>
        <w:rPr>
          <w:rFonts w:ascii="DIN-Regular" w:hAnsi="DIN-Regular"/>
          <w:sz w:val="20"/>
          <w:szCs w:val="20"/>
        </w:rPr>
      </w:pPr>
      <w:r>
        <w:rPr>
          <w:rFonts w:ascii="DIN-Regular" w:hAnsi="DIN-Regular"/>
          <w:sz w:val="20"/>
          <w:szCs w:val="20"/>
        </w:rPr>
        <w:t>De gunningsbeslissing zal bekend worden gemaakt aan de inschrijvers. De inschrijvers die vooralsnog niet voor gunning in aanmerking komen, krijgen hiervan eveneens bericht. Voor deze inschrijvers bestaat de mogelijkheid een kort geding tegen de beslissing aanhangig te maken .De wettelijke termijn hiervoor is 20 dagen na verzending van voornoemd bericht. Dit is een vervaltermijn. Ook staat het inschrijvers vrij om contact op te nemen met de Commissie van Aanbestedingsexperts te Den Haag.</w:t>
      </w:r>
    </w:p>
    <w:p w14:paraId="0535CD13"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rPr>
      </w:pPr>
      <w:bookmarkStart w:id="22" w:name="_Toc219884671"/>
      <w:bookmarkStart w:id="23" w:name="_Toc219885181"/>
      <w:bookmarkStart w:id="24" w:name="_Toc219886633"/>
      <w:bookmarkStart w:id="25" w:name="_Toc521403208"/>
      <w:r>
        <w:rPr>
          <w:rStyle w:val="Kop3Char"/>
          <w:rFonts w:ascii="DIN-Regular" w:hAnsi="DIN-Regular"/>
        </w:rPr>
        <w:t>Gegevens en toelichtingen</w:t>
      </w:r>
      <w:bookmarkEnd w:id="22"/>
      <w:bookmarkEnd w:id="23"/>
      <w:bookmarkEnd w:id="24"/>
      <w:bookmarkEnd w:id="25"/>
    </w:p>
    <w:p w14:paraId="7C091735" w14:textId="77777777" w:rsidR="00E175AD" w:rsidRDefault="00E175AD" w:rsidP="00E175AD">
      <w:pPr>
        <w:rPr>
          <w:sz w:val="20"/>
          <w:szCs w:val="20"/>
        </w:rPr>
      </w:pPr>
      <w:r>
        <w:rPr>
          <w:rFonts w:ascii="DIN-Regular" w:hAnsi="DIN-Regular"/>
          <w:sz w:val="20"/>
          <w:szCs w:val="20"/>
        </w:rPr>
        <w:t>De gemeente behoudt zich het recht voor alle verstrekte gegevens op hun juistheid te controleren. Het verstrekken van onjuiste gegevens kan tot uitsluiting leiden. Inschrijvers dienen onder meer de door hen in het kader van de gunning overgelegde getuigschriften en documenten op verzoek van de gemeente toe te lichten of nader aan te vullen.</w:t>
      </w:r>
    </w:p>
    <w:p w14:paraId="03CC4D22" w14:textId="77777777" w:rsidR="00E175AD" w:rsidRDefault="00E175AD" w:rsidP="00E175AD">
      <w:pPr>
        <w:pStyle w:val="Kop2"/>
        <w:numPr>
          <w:ilvl w:val="0"/>
          <w:numId w:val="2"/>
        </w:numPr>
        <w:tabs>
          <w:tab w:val="left" w:pos="708"/>
        </w:tabs>
        <w:spacing w:line="240" w:lineRule="auto"/>
        <w:ind w:left="284" w:hanging="284"/>
        <w:jc w:val="left"/>
        <w:rPr>
          <w:rFonts w:ascii="DIN-Regular" w:hAnsi="DIN-Regular"/>
        </w:rPr>
      </w:pPr>
      <w:bookmarkStart w:id="26" w:name="_Toc219884672"/>
      <w:bookmarkStart w:id="27" w:name="_Toc219885182"/>
      <w:bookmarkStart w:id="28" w:name="_Toc219886634"/>
      <w:bookmarkStart w:id="29" w:name="_Toc521403209"/>
      <w:r>
        <w:rPr>
          <w:rFonts w:ascii="DIN-Regular" w:hAnsi="DIN-Regular"/>
        </w:rPr>
        <w:t>Mededinging</w:t>
      </w:r>
      <w:bookmarkEnd w:id="26"/>
      <w:bookmarkEnd w:id="27"/>
      <w:bookmarkEnd w:id="28"/>
      <w:bookmarkEnd w:id="29"/>
    </w:p>
    <w:p w14:paraId="4FB7D503" w14:textId="77777777" w:rsidR="00E175AD" w:rsidRDefault="00E175AD" w:rsidP="00E175AD">
      <w:pPr>
        <w:rPr>
          <w:rFonts w:ascii="DIN-Regular" w:hAnsi="DIN-Regular"/>
          <w:sz w:val="20"/>
          <w:szCs w:val="20"/>
        </w:rPr>
      </w:pPr>
      <w:r>
        <w:rPr>
          <w:rFonts w:ascii="DIN-Regular" w:hAnsi="DIN-Regular"/>
          <w:sz w:val="20"/>
          <w:szCs w:val="20"/>
        </w:rPr>
        <w:t xml:space="preserve">Inschrijver zal zich onthouden van gedragingen die de mededinging tussen inschrijvers beperken. In het bijzonder zal de inschrijver: </w:t>
      </w:r>
    </w:p>
    <w:p w14:paraId="5A73AEC0" w14:textId="77777777" w:rsidR="00E175AD" w:rsidRDefault="00E175AD" w:rsidP="00E175AD">
      <w:pPr>
        <w:rPr>
          <w:rFonts w:ascii="DIN-Regular" w:hAnsi="DIN-Regular"/>
          <w:sz w:val="20"/>
          <w:szCs w:val="20"/>
        </w:rPr>
      </w:pPr>
    </w:p>
    <w:p w14:paraId="2303F3B6" w14:textId="77777777" w:rsidR="00E175AD" w:rsidRDefault="00E175AD" w:rsidP="00E175AD">
      <w:pPr>
        <w:numPr>
          <w:ilvl w:val="0"/>
          <w:numId w:val="3"/>
        </w:numPr>
        <w:rPr>
          <w:rFonts w:ascii="DIN-Regular" w:hAnsi="DIN-Regular"/>
          <w:sz w:val="20"/>
          <w:szCs w:val="20"/>
        </w:rPr>
      </w:pPr>
      <w:r>
        <w:rPr>
          <w:rFonts w:ascii="DIN-Regular" w:hAnsi="DIN-Regular"/>
          <w:sz w:val="20"/>
          <w:szCs w:val="20"/>
        </w:rPr>
        <w:t xml:space="preserve">de gemeente niet belemmeren in zijn streven met een andere inschrijver of een derde tot overeenstemming te komen over de gunning van de opdracht; </w:t>
      </w:r>
    </w:p>
    <w:p w14:paraId="69A95F89" w14:textId="77777777" w:rsidR="00E175AD" w:rsidRDefault="00E175AD" w:rsidP="00E175AD">
      <w:pPr>
        <w:numPr>
          <w:ilvl w:val="0"/>
          <w:numId w:val="3"/>
        </w:numPr>
        <w:rPr>
          <w:rFonts w:ascii="DIN-Regular" w:hAnsi="DIN-Regular"/>
          <w:sz w:val="20"/>
          <w:szCs w:val="20"/>
        </w:rPr>
      </w:pPr>
      <w:r>
        <w:rPr>
          <w:rFonts w:ascii="DIN-Regular" w:hAnsi="DIN-Regular"/>
          <w:sz w:val="20"/>
          <w:szCs w:val="20"/>
        </w:rPr>
        <w:t>geen informatie over zijn inschrijving of over het overleg met de gemeente uitwisselen met andere inschrijvers of met derden.</w:t>
      </w:r>
    </w:p>
    <w:p w14:paraId="21C3037B" w14:textId="77777777" w:rsidR="00E175AD" w:rsidRDefault="00E175AD" w:rsidP="00E175AD">
      <w:pPr>
        <w:pStyle w:val="Kop2"/>
        <w:numPr>
          <w:ilvl w:val="0"/>
          <w:numId w:val="2"/>
        </w:numPr>
        <w:tabs>
          <w:tab w:val="left" w:pos="708"/>
        </w:tabs>
        <w:spacing w:line="240" w:lineRule="auto"/>
        <w:ind w:left="284" w:hanging="284"/>
        <w:jc w:val="left"/>
        <w:rPr>
          <w:rFonts w:ascii="DIN-Regular" w:hAnsi="DIN-Regular"/>
        </w:rPr>
      </w:pPr>
      <w:bookmarkStart w:id="30" w:name="_Toc219884669"/>
      <w:bookmarkStart w:id="31" w:name="_Toc219885179"/>
      <w:bookmarkStart w:id="32" w:name="_Toc219886631"/>
      <w:bookmarkStart w:id="33" w:name="_Toc521403210"/>
      <w:r>
        <w:rPr>
          <w:rFonts w:ascii="DIN-Regular" w:hAnsi="DIN-Regular"/>
        </w:rPr>
        <w:t>Ontbinding overeenkomst</w:t>
      </w:r>
      <w:bookmarkEnd w:id="30"/>
      <w:bookmarkEnd w:id="31"/>
      <w:bookmarkEnd w:id="32"/>
      <w:bookmarkEnd w:id="33"/>
    </w:p>
    <w:p w14:paraId="51695110" w14:textId="77777777" w:rsidR="00E175AD" w:rsidRDefault="00E175AD" w:rsidP="00E175AD">
      <w:pPr>
        <w:rPr>
          <w:rFonts w:ascii="DIN-Regular" w:hAnsi="DIN-Regular"/>
          <w:sz w:val="20"/>
          <w:szCs w:val="20"/>
        </w:rPr>
      </w:pPr>
      <w:r>
        <w:rPr>
          <w:rFonts w:ascii="DIN-Regular" w:hAnsi="DIN-Regular"/>
          <w:sz w:val="20"/>
          <w:szCs w:val="20"/>
        </w:rPr>
        <w:t>De gemeente is gerechtigd de overeenkomst met begunstigde met onmiddellijke ingang te beëindigen, indien uit een uitspraak van een rechter volgt dat het gunningbesluit onrechtmatig is of dat de overeenkomst ongeldig is, dat de overeenkomst (gedeeltelijk) onverbindend wordt verklaard of de looptijd van de overeenkomst wordt verkort of dat de producten om welke reden dan ook opnieuw moeten worden aanbesteed. Aan een dergelijk besluit tot beëindiging, (gedeeltelijk) onverbindend verklaren of verkorten van de looptijd van de overeenkomst kunnen door de begunstigde geen aanspraken worden ontleend jegens de gemeente op vergoeding van inschrijfkosten, verlies aan referentie, gederfde winst of andere schade.</w:t>
      </w:r>
    </w:p>
    <w:p w14:paraId="5057A250" w14:textId="77777777" w:rsidR="00E175AD" w:rsidRDefault="00E175AD" w:rsidP="00E175AD">
      <w:pPr>
        <w:rPr>
          <w:rFonts w:ascii="DIN-Regular" w:hAnsi="DIN-Regular"/>
          <w:sz w:val="20"/>
          <w:szCs w:val="20"/>
        </w:rPr>
      </w:pPr>
    </w:p>
    <w:p w14:paraId="4CFAA630"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rPr>
      </w:pPr>
      <w:bookmarkStart w:id="34" w:name="_Toc521403211"/>
      <w:r>
        <w:rPr>
          <w:rStyle w:val="Kop3Char"/>
          <w:rFonts w:ascii="DIN-Regular" w:hAnsi="DIN-Regular"/>
        </w:rPr>
        <w:t>Rechtsopvolging</w:t>
      </w:r>
      <w:bookmarkEnd w:id="34"/>
    </w:p>
    <w:p w14:paraId="46C65215" w14:textId="77777777" w:rsidR="00E175AD" w:rsidRDefault="00E175AD" w:rsidP="00E175AD">
      <w:pPr>
        <w:rPr>
          <w:rFonts w:eastAsia="Calibri"/>
          <w:sz w:val="20"/>
          <w:szCs w:val="20"/>
          <w:lang w:eastAsia="en-US"/>
        </w:rPr>
      </w:pPr>
      <w:r>
        <w:rPr>
          <w:rFonts w:ascii="DIN-Regular" w:eastAsia="Calibri" w:hAnsi="DIN-Regular"/>
          <w:sz w:val="20"/>
          <w:szCs w:val="20"/>
          <w:lang w:eastAsia="en-US"/>
        </w:rPr>
        <w:t>Indien tijdens de uitvoering van de overeenkomst sprake is van rechtsopvolging onder algemene titel in de positie van de inschrijver/opdrachtnemer ten gevolge van herstructurering van de onderneming of insolventie, dan kan deze door een andere ondernemer worden vervangen, mits laatste voldoet aan de aanvankelijk vastgestelde criteria voor kwalitatieve selectie en dit geen andere wezenlijke wijzigingen in de uit te voeren opdracht/werkzaamheden met zich meebrengt.</w:t>
      </w:r>
    </w:p>
    <w:p w14:paraId="4147D6E1"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rPr>
      </w:pPr>
      <w:bookmarkStart w:id="35" w:name="_Toc521403212"/>
      <w:r>
        <w:rPr>
          <w:rStyle w:val="Kop3Char"/>
          <w:rFonts w:ascii="DIN-Regular" w:hAnsi="DIN-Regular"/>
        </w:rPr>
        <w:t>Klachten van (een) inschrijver(s) over gemeente Almere</w:t>
      </w:r>
      <w:bookmarkEnd w:id="35"/>
    </w:p>
    <w:p w14:paraId="7C0B5B1D" w14:textId="77777777" w:rsidR="00E175AD" w:rsidRDefault="00E175AD" w:rsidP="00E175AD">
      <w:pPr>
        <w:rPr>
          <w:color w:val="000000"/>
          <w:sz w:val="20"/>
          <w:szCs w:val="20"/>
        </w:rPr>
      </w:pPr>
      <w:r>
        <w:rPr>
          <w:rFonts w:ascii="DIN-Regular" w:hAnsi="DIN-Regular"/>
          <w:color w:val="000000"/>
          <w:sz w:val="20"/>
          <w:szCs w:val="20"/>
        </w:rPr>
        <w:t xml:space="preserve">Inschrijvers of onderaannemers van inschrijvers die een klacht hebben over de aanbestedingsprocedure kunnen deze klacht kenbaar maken door een melding te maken via het </w:t>
      </w:r>
      <w:r>
        <w:rPr>
          <w:rFonts w:ascii="DIN-Regular" w:hAnsi="DIN-Regular"/>
          <w:color w:val="000000"/>
          <w:sz w:val="20"/>
          <w:szCs w:val="20"/>
        </w:rPr>
        <w:lastRenderedPageBreak/>
        <w:t xml:space="preserve">Digitaal Loket </w:t>
      </w:r>
      <w:hyperlink r:id="rId5" w:history="1">
        <w:r>
          <w:rPr>
            <w:rStyle w:val="Hyperlink"/>
            <w:sz w:val="20"/>
          </w:rPr>
          <w:t>www.almere.nl</w:t>
        </w:r>
      </w:hyperlink>
      <w:r>
        <w:rPr>
          <w:rFonts w:ascii="DIN-Regular" w:hAnsi="DIN-Regular"/>
          <w:color w:val="000000"/>
          <w:sz w:val="20"/>
          <w:szCs w:val="20"/>
        </w:rPr>
        <w:t>. Ook brancheorganisaties en klachtenloketten kunnen namens bij hen aangesloten inschrijvers een klacht indienen</w:t>
      </w:r>
    </w:p>
    <w:p w14:paraId="5AB35E85" w14:textId="77777777" w:rsidR="00E175AD" w:rsidRDefault="00E175AD" w:rsidP="00E175AD">
      <w:pPr>
        <w:rPr>
          <w:rFonts w:ascii="DIN-Regular" w:hAnsi="DIN-Regular"/>
          <w:color w:val="000000"/>
          <w:sz w:val="20"/>
          <w:szCs w:val="20"/>
        </w:rPr>
      </w:pPr>
    </w:p>
    <w:p w14:paraId="2E3DFF3E" w14:textId="77777777" w:rsidR="00E175AD" w:rsidRDefault="00E175AD" w:rsidP="00E175AD">
      <w:pPr>
        <w:rPr>
          <w:rFonts w:ascii="DIN-Regular" w:hAnsi="DIN-Regular"/>
          <w:color w:val="000000"/>
          <w:sz w:val="20"/>
          <w:szCs w:val="20"/>
        </w:rPr>
      </w:pPr>
      <w:r>
        <w:rPr>
          <w:rFonts w:ascii="DIN-Regular" w:hAnsi="DIN-Regular"/>
          <w:color w:val="000000"/>
          <w:sz w:val="20"/>
          <w:szCs w:val="20"/>
        </w:rPr>
        <w:t>In de melding van de klacht dient minimaal te worden aangegeven:</w:t>
      </w:r>
    </w:p>
    <w:p w14:paraId="1B75A8B8" w14:textId="77777777" w:rsidR="00E175AD" w:rsidRDefault="00E175AD" w:rsidP="00E175AD">
      <w:pPr>
        <w:rPr>
          <w:rFonts w:ascii="DIN-Regular" w:hAnsi="DIN-Regular"/>
          <w:color w:val="000000"/>
          <w:sz w:val="20"/>
          <w:szCs w:val="20"/>
        </w:rPr>
      </w:pPr>
    </w:p>
    <w:p w14:paraId="0BD6615B" w14:textId="77777777" w:rsidR="00E175AD" w:rsidRDefault="00E175AD" w:rsidP="00E175AD">
      <w:pPr>
        <w:numPr>
          <w:ilvl w:val="0"/>
          <w:numId w:val="4"/>
        </w:numPr>
        <w:rPr>
          <w:rFonts w:ascii="DIN-Regular" w:hAnsi="DIN-Regular"/>
          <w:color w:val="000000"/>
          <w:sz w:val="20"/>
          <w:szCs w:val="20"/>
        </w:rPr>
      </w:pPr>
      <w:r>
        <w:rPr>
          <w:rFonts w:ascii="DIN-Regular" w:hAnsi="DIN-Regular"/>
          <w:color w:val="000000"/>
          <w:sz w:val="20"/>
          <w:szCs w:val="20"/>
        </w:rPr>
        <w:t>Naam van de organisatie die de klacht indient (hierna te noemen “indiener”) en een contactpersoon;</w:t>
      </w:r>
    </w:p>
    <w:p w14:paraId="3A61909D" w14:textId="77777777" w:rsidR="00E175AD" w:rsidRDefault="00E175AD" w:rsidP="00E175AD">
      <w:pPr>
        <w:numPr>
          <w:ilvl w:val="0"/>
          <w:numId w:val="4"/>
        </w:numPr>
        <w:rPr>
          <w:rFonts w:ascii="DIN-Regular" w:hAnsi="DIN-Regular"/>
          <w:color w:val="000000"/>
          <w:sz w:val="20"/>
          <w:szCs w:val="20"/>
        </w:rPr>
      </w:pPr>
      <w:r>
        <w:rPr>
          <w:rFonts w:ascii="DIN-Regular" w:hAnsi="DIN-Regular"/>
          <w:color w:val="000000"/>
          <w:sz w:val="20"/>
          <w:szCs w:val="20"/>
        </w:rPr>
        <w:t>Kenmerk van de aanbesteding;</w:t>
      </w:r>
    </w:p>
    <w:p w14:paraId="4BF5A57C" w14:textId="77777777" w:rsidR="00E175AD" w:rsidRDefault="00E175AD" w:rsidP="00E175AD">
      <w:pPr>
        <w:numPr>
          <w:ilvl w:val="0"/>
          <w:numId w:val="4"/>
        </w:numPr>
        <w:rPr>
          <w:rFonts w:ascii="DIN-Regular" w:hAnsi="DIN-Regular"/>
          <w:color w:val="000000"/>
          <w:sz w:val="20"/>
          <w:szCs w:val="20"/>
        </w:rPr>
      </w:pPr>
      <w:r>
        <w:rPr>
          <w:rFonts w:ascii="DIN-Regular" w:hAnsi="DIN-Regular"/>
          <w:color w:val="000000"/>
          <w:sz w:val="20"/>
          <w:szCs w:val="20"/>
        </w:rPr>
        <w:t xml:space="preserve">De aard van de klacht en een mogelijke oplossing(richting). </w:t>
      </w:r>
    </w:p>
    <w:p w14:paraId="29DA66B5" w14:textId="77777777" w:rsidR="00E175AD" w:rsidRDefault="00E175AD" w:rsidP="00E175AD">
      <w:pPr>
        <w:rPr>
          <w:rFonts w:ascii="DIN-Regular" w:hAnsi="DIN-Regular"/>
          <w:color w:val="000000"/>
          <w:sz w:val="20"/>
          <w:szCs w:val="20"/>
        </w:rPr>
      </w:pPr>
    </w:p>
    <w:p w14:paraId="3AA2ED5E" w14:textId="77777777" w:rsidR="00E175AD" w:rsidRDefault="00E175AD" w:rsidP="00E175AD">
      <w:pPr>
        <w:rPr>
          <w:rFonts w:ascii="DIN-Regular" w:hAnsi="DIN-Regular"/>
          <w:color w:val="000000"/>
          <w:sz w:val="20"/>
          <w:szCs w:val="20"/>
        </w:rPr>
      </w:pPr>
      <w:r>
        <w:rPr>
          <w:rFonts w:ascii="DIN-Regular" w:hAnsi="DIN-Regular"/>
          <w:color w:val="000000"/>
          <w:sz w:val="20"/>
          <w:szCs w:val="20"/>
        </w:rPr>
        <w:t>Randvoorwaarden bij het indienen van de klacht:</w:t>
      </w:r>
    </w:p>
    <w:p w14:paraId="17791128" w14:textId="77777777" w:rsidR="00E175AD" w:rsidRDefault="00E175AD" w:rsidP="00E175AD">
      <w:pPr>
        <w:ind w:left="720"/>
        <w:rPr>
          <w:rFonts w:ascii="DIN-Regular" w:hAnsi="DIN-Regular"/>
          <w:color w:val="000000"/>
          <w:sz w:val="20"/>
          <w:szCs w:val="20"/>
        </w:rPr>
      </w:pPr>
    </w:p>
    <w:p w14:paraId="1A93F57D"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De klacht dient concreet en specifiek betrekking te hebben op deze aanbestedingsprocedure;</w:t>
      </w:r>
    </w:p>
    <w:p w14:paraId="393D7A9A"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Anoniem klagen is niet mogelijk;</w:t>
      </w:r>
    </w:p>
    <w:p w14:paraId="069536A6"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De klacht wordt tijdig kenbaar gemaakt;</w:t>
      </w:r>
    </w:p>
    <w:p w14:paraId="255E2379"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Vragen/opmerkingen of klachten die zich beter lenen om te stellen in de nota van inlichtingen, dienen eerst daar ingediend te worden. Is inschrijver het niet eens met het in de nota van inlichtingen gegeven antwoord, dan kan hij een klacht indienen;</w:t>
      </w:r>
    </w:p>
    <w:p w14:paraId="27839008"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De klacht dient gemotiveerd te zijn;</w:t>
      </w:r>
    </w:p>
    <w:p w14:paraId="7D3949C9"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Klachten mogen geen betrekking hebben op het algemene aanbestedingsbeleid;</w:t>
      </w:r>
    </w:p>
    <w:p w14:paraId="19D09DC8"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Een klacht zet de aanbestedingsprocedure niet stil.</w:t>
      </w:r>
    </w:p>
    <w:p w14:paraId="7341BB93" w14:textId="77777777" w:rsidR="00E175AD" w:rsidRDefault="00E175AD" w:rsidP="00E175AD">
      <w:pPr>
        <w:rPr>
          <w:rFonts w:ascii="DIN-Regular" w:hAnsi="DIN-Regular"/>
          <w:color w:val="000000"/>
          <w:sz w:val="20"/>
          <w:szCs w:val="20"/>
        </w:rPr>
      </w:pPr>
    </w:p>
    <w:p w14:paraId="3BC5DFE7" w14:textId="77777777" w:rsidR="00E175AD" w:rsidRDefault="00E175AD" w:rsidP="00E175AD">
      <w:pPr>
        <w:rPr>
          <w:rFonts w:ascii="DIN-Regular" w:hAnsi="DIN-Regular"/>
          <w:color w:val="000000"/>
          <w:sz w:val="20"/>
          <w:szCs w:val="20"/>
        </w:rPr>
      </w:pPr>
      <w:r>
        <w:rPr>
          <w:rFonts w:ascii="DIN-Regular" w:hAnsi="DIN-Regular"/>
          <w:color w:val="000000"/>
          <w:sz w:val="20"/>
          <w:szCs w:val="20"/>
        </w:rPr>
        <w:t>Klachten die binnenkomen worden direct doorgezonden naar een medewerker van gemeente Almere die niet bij de aanbesteding betrokken is geweest (klachtenbehandelaar). Deze medewerker zal zo spoedig mogelijk contact met de indiener opnemen teneinde een afspraak te maken om de ingediende klacht te bespreken. Een klacht kan voor bemiddeling of advies voorgelegd worden aan de Commissie van Aanbestedingsexperts te Den Haag (zie volgende alinea). Na overleg tussen de klachtenbehandelaar en indiener zal de indiener een reactie van gemeente Almere op de klacht ontvangen:</w:t>
      </w:r>
    </w:p>
    <w:p w14:paraId="312B712B" w14:textId="77777777" w:rsidR="00E175AD" w:rsidRDefault="00E175AD" w:rsidP="00E175AD">
      <w:pPr>
        <w:rPr>
          <w:rFonts w:ascii="DIN-Regular" w:hAnsi="DIN-Regular"/>
          <w:color w:val="000000"/>
          <w:sz w:val="20"/>
          <w:szCs w:val="20"/>
        </w:rPr>
      </w:pPr>
    </w:p>
    <w:p w14:paraId="6AA146B3"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Wordt besloten dat de klacht terecht is, dan wordt dit zo spoedig mogelijk aan indiener en aan de andere inschrijvers medegedeeld via een nota van inlichtingen;</w:t>
      </w:r>
    </w:p>
    <w:p w14:paraId="48223730" w14:textId="77777777" w:rsidR="00E175AD" w:rsidRDefault="00E175AD" w:rsidP="00E175AD">
      <w:pPr>
        <w:numPr>
          <w:ilvl w:val="0"/>
          <w:numId w:val="5"/>
        </w:numPr>
        <w:rPr>
          <w:rFonts w:ascii="DIN-Regular" w:hAnsi="DIN-Regular"/>
          <w:color w:val="000000"/>
          <w:sz w:val="20"/>
          <w:szCs w:val="20"/>
        </w:rPr>
      </w:pPr>
      <w:r>
        <w:rPr>
          <w:rFonts w:ascii="DIN-Regular" w:hAnsi="DIN-Regular"/>
          <w:color w:val="000000"/>
          <w:sz w:val="20"/>
          <w:szCs w:val="20"/>
        </w:rPr>
        <w:t>Wordt besloten dat de klacht wordt afgewezen, dan ontvangt indiener een gemotiveerde reactie.</w:t>
      </w:r>
    </w:p>
    <w:p w14:paraId="63AC176F" w14:textId="77777777" w:rsidR="00E175AD" w:rsidRDefault="00E175AD" w:rsidP="00E175AD">
      <w:pPr>
        <w:rPr>
          <w:rFonts w:ascii="DIN-Regular" w:hAnsi="DIN-Regular"/>
          <w:color w:val="000000"/>
          <w:sz w:val="20"/>
          <w:szCs w:val="20"/>
        </w:rPr>
      </w:pPr>
    </w:p>
    <w:p w14:paraId="5C0BE5D9" w14:textId="77777777" w:rsidR="00E175AD" w:rsidRDefault="00E175AD" w:rsidP="00E175AD">
      <w:pPr>
        <w:rPr>
          <w:rFonts w:ascii="DIN-Regular" w:hAnsi="DIN-Regular"/>
          <w:color w:val="000000"/>
          <w:sz w:val="20"/>
          <w:szCs w:val="20"/>
        </w:rPr>
      </w:pPr>
      <w:r>
        <w:rPr>
          <w:rFonts w:ascii="DIN-Regular" w:hAnsi="DIN-Regular"/>
          <w:color w:val="000000"/>
          <w:sz w:val="20"/>
          <w:szCs w:val="20"/>
        </w:rPr>
        <w:t>Is indiener vervolgens van oordeel dat zijn klacht niet naar tevredenheid is afgehandeld, dan kan hij zich wenden tot de Commissie van aanbestedingsexperts te Den Haag. De gemeente wijst erop dat een advies van deze Commissie niet bindend is.</w:t>
      </w:r>
    </w:p>
    <w:p w14:paraId="4F7D9E95" w14:textId="77777777" w:rsidR="00E175AD" w:rsidRDefault="00E175AD" w:rsidP="00E175AD">
      <w:pPr>
        <w:rPr>
          <w:rFonts w:ascii="DIN-Regular" w:hAnsi="DIN-Regular"/>
          <w:color w:val="000000"/>
          <w:sz w:val="20"/>
          <w:szCs w:val="20"/>
        </w:rPr>
      </w:pPr>
    </w:p>
    <w:p w14:paraId="2139916C" w14:textId="77777777" w:rsidR="00E175AD" w:rsidRDefault="00E175AD" w:rsidP="00E175AD">
      <w:pPr>
        <w:rPr>
          <w:rFonts w:ascii="DIN-Regular" w:hAnsi="DIN-Regular"/>
          <w:color w:val="000000"/>
          <w:sz w:val="20"/>
          <w:szCs w:val="20"/>
        </w:rPr>
      </w:pPr>
      <w:r>
        <w:rPr>
          <w:rFonts w:ascii="DIN-Regular" w:hAnsi="DIN-Regular"/>
          <w:color w:val="000000"/>
          <w:sz w:val="20"/>
          <w:szCs w:val="20"/>
        </w:rPr>
        <w:t>De mogelijkheid tot het starten van een kort geding staat los van de beschreven klachtenprocedure en kan derhalve parallel of als separate optie worden aangewend.</w:t>
      </w:r>
    </w:p>
    <w:p w14:paraId="388CA72A" w14:textId="77777777" w:rsidR="00E175AD" w:rsidRDefault="00E175AD" w:rsidP="00E175AD">
      <w:pPr>
        <w:pStyle w:val="Kop2"/>
        <w:numPr>
          <w:ilvl w:val="0"/>
          <w:numId w:val="2"/>
        </w:numPr>
        <w:tabs>
          <w:tab w:val="left" w:pos="708"/>
        </w:tabs>
        <w:spacing w:line="240" w:lineRule="auto"/>
        <w:ind w:left="284" w:hanging="284"/>
        <w:jc w:val="left"/>
        <w:rPr>
          <w:rStyle w:val="Kop3Char"/>
          <w:rFonts w:ascii="DIN-Regular" w:hAnsi="DIN-Regular"/>
        </w:rPr>
      </w:pPr>
      <w:bookmarkStart w:id="36" w:name="_Toc521403213"/>
      <w:r>
        <w:rPr>
          <w:rStyle w:val="Kop3Char"/>
          <w:rFonts w:ascii="DIN-Regular" w:hAnsi="DIN-Regular"/>
        </w:rPr>
        <w:t>Klachten van de gemeente over (een) inschrijver(s)</w:t>
      </w:r>
      <w:bookmarkEnd w:id="36"/>
    </w:p>
    <w:p w14:paraId="06F5C250" w14:textId="77777777" w:rsidR="00E175AD" w:rsidRDefault="00E175AD" w:rsidP="00E175AD">
      <w:pPr>
        <w:rPr>
          <w:b/>
          <w:sz w:val="20"/>
          <w:szCs w:val="20"/>
        </w:rPr>
      </w:pPr>
      <w:r>
        <w:rPr>
          <w:rFonts w:ascii="DIN-Regular" w:hAnsi="DIN-Regular"/>
          <w:color w:val="000000"/>
          <w:sz w:val="20"/>
          <w:szCs w:val="20"/>
        </w:rPr>
        <w:t>Ingeval de gemeente een klacht heeft over een of meer inschrijvers, dan kan de gemeente deze klacht kenbaar maken bij deze inschrijver(s). inschrijver bevestigt per ommegaande de ontvangst van de klacht, bestudeert deze met spoed en laat de gemeente gemotiveerd weten wat zijn reactie op de klacht is.</w:t>
      </w:r>
    </w:p>
    <w:p w14:paraId="0AE6B533" w14:textId="77777777" w:rsidR="00632A1E" w:rsidRDefault="00632A1E"/>
    <w:sectPr w:rsidR="00632A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lantin">
    <w:altName w:val="Calibri"/>
    <w:panose1 w:val="02000000000000000000"/>
    <w:charset w:val="00"/>
    <w:family w:val="auto"/>
    <w:pitch w:val="variable"/>
    <w:sig w:usb0="8000002F" w:usb1="4000000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DIN"/>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22C8B"/>
    <w:multiLevelType w:val="multilevel"/>
    <w:tmpl w:val="8558F1E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ind w:left="0" w:firstLine="0"/>
      </w:pPr>
    </w:lvl>
    <w:lvl w:ilvl="3">
      <w:numFmt w:val="none"/>
      <w:pStyle w:val="Kop4"/>
      <w:lvlText w:val=""/>
      <w:lvlJc w:val="left"/>
      <w:pPr>
        <w:tabs>
          <w:tab w:val="num" w:pos="360"/>
        </w:tabs>
        <w:ind w:left="0" w:firstLine="0"/>
      </w:pPr>
    </w:lvl>
    <w:lvl w:ilvl="4">
      <w:numFmt w:val="decimal"/>
      <w:pStyle w:val="Kop5"/>
      <w:lvlText w:val=""/>
      <w:lvlJc w:val="left"/>
      <w:pPr>
        <w:ind w:left="0" w:firstLine="0"/>
      </w:pPr>
    </w:lvl>
    <w:lvl w:ilvl="5">
      <w:numFmt w:val="decimal"/>
      <w:pStyle w:val="Kop6"/>
      <w:lvlText w:val=""/>
      <w:lvlJc w:val="left"/>
      <w:pPr>
        <w:ind w:left="0" w:firstLine="0"/>
      </w:pPr>
    </w:lvl>
    <w:lvl w:ilvl="6">
      <w:numFmt w:val="decimal"/>
      <w:pStyle w:val="Kop7"/>
      <w:lvlText w:val=""/>
      <w:lvlJc w:val="left"/>
      <w:pPr>
        <w:ind w:left="0" w:firstLine="0"/>
      </w:pPr>
    </w:lvl>
    <w:lvl w:ilvl="7">
      <w:numFmt w:val="decimal"/>
      <w:pStyle w:val="Kop8"/>
      <w:lvlText w:val=""/>
      <w:lvlJc w:val="left"/>
      <w:pPr>
        <w:ind w:left="0" w:firstLine="0"/>
      </w:pPr>
    </w:lvl>
    <w:lvl w:ilvl="8">
      <w:numFmt w:val="decimal"/>
      <w:pStyle w:val="Kop9"/>
      <w:lvlText w:val=""/>
      <w:lvlJc w:val="left"/>
      <w:pPr>
        <w:ind w:left="0" w:firstLine="0"/>
      </w:pPr>
    </w:lvl>
  </w:abstractNum>
  <w:abstractNum w:abstractNumId="1" w15:restartNumberingAfterBreak="0">
    <w:nsid w:val="18C1651D"/>
    <w:multiLevelType w:val="hybridMultilevel"/>
    <w:tmpl w:val="8560130A"/>
    <w:lvl w:ilvl="0" w:tplc="AD7CF322">
      <w:start w:val="1"/>
      <w:numFmt w:val="upp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A7762D5"/>
    <w:multiLevelType w:val="hybridMultilevel"/>
    <w:tmpl w:val="B54A62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F0675F8"/>
    <w:multiLevelType w:val="hybridMultilevel"/>
    <w:tmpl w:val="FB2EC2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F77031C"/>
    <w:multiLevelType w:val="hybridMultilevel"/>
    <w:tmpl w:val="DA103D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127100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301547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0123873">
    <w:abstractNumId w:val="3"/>
    <w:lvlOverride w:ilvl="0"/>
    <w:lvlOverride w:ilvl="1"/>
    <w:lvlOverride w:ilvl="2"/>
    <w:lvlOverride w:ilvl="3"/>
    <w:lvlOverride w:ilvl="4"/>
    <w:lvlOverride w:ilvl="5"/>
    <w:lvlOverride w:ilvl="6"/>
    <w:lvlOverride w:ilvl="7"/>
    <w:lvlOverride w:ilvl="8"/>
  </w:num>
  <w:num w:numId="4" w16cid:durableId="1908146593">
    <w:abstractNumId w:val="2"/>
    <w:lvlOverride w:ilvl="0"/>
    <w:lvlOverride w:ilvl="1"/>
    <w:lvlOverride w:ilvl="2"/>
    <w:lvlOverride w:ilvl="3"/>
    <w:lvlOverride w:ilvl="4"/>
    <w:lvlOverride w:ilvl="5"/>
    <w:lvlOverride w:ilvl="6"/>
    <w:lvlOverride w:ilvl="7"/>
    <w:lvlOverride w:ilvl="8"/>
  </w:num>
  <w:num w:numId="5" w16cid:durableId="105690182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AD"/>
    <w:rsid w:val="00185F26"/>
    <w:rsid w:val="00331DE3"/>
    <w:rsid w:val="00632A1E"/>
    <w:rsid w:val="00E175AD"/>
    <w:rsid w:val="00F8205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5ABE"/>
  <w15:chartTrackingRefBased/>
  <w15:docId w15:val="{3B5446DB-F610-4268-8D32-2D794181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5AD"/>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Section Heading"/>
    <w:basedOn w:val="Standaard"/>
    <w:next w:val="Standaard"/>
    <w:link w:val="Kop1Char"/>
    <w:qFormat/>
    <w:rsid w:val="00E175AD"/>
    <w:pPr>
      <w:keepNext/>
      <w:numPr>
        <w:numId w:val="1"/>
      </w:numPr>
      <w:spacing w:before="240" w:after="60" w:line="240" w:lineRule="atLeast"/>
      <w:jc w:val="both"/>
      <w:outlineLvl w:val="0"/>
    </w:pPr>
    <w:rPr>
      <w:rFonts w:ascii="DIN-Regular" w:hAnsi="DIN-Regular"/>
      <w:smallCaps/>
      <w:kern w:val="28"/>
      <w:sz w:val="28"/>
      <w:szCs w:val="20"/>
    </w:rPr>
  </w:style>
  <w:style w:type="paragraph" w:styleId="Kop2">
    <w:name w:val="heading 2"/>
    <w:basedOn w:val="Standaard"/>
    <w:next w:val="Standaard"/>
    <w:link w:val="Kop2Char"/>
    <w:semiHidden/>
    <w:unhideWhenUsed/>
    <w:qFormat/>
    <w:rsid w:val="00E175AD"/>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
    <w:semiHidden/>
    <w:unhideWhenUsed/>
    <w:qFormat/>
    <w:rsid w:val="00E175AD"/>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semiHidden/>
    <w:unhideWhenUsed/>
    <w:qFormat/>
    <w:rsid w:val="00E175AD"/>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link w:val="Kop5Char"/>
    <w:semiHidden/>
    <w:unhideWhenUsed/>
    <w:qFormat/>
    <w:rsid w:val="00E175AD"/>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link w:val="Kop6Char"/>
    <w:semiHidden/>
    <w:unhideWhenUsed/>
    <w:qFormat/>
    <w:rsid w:val="00E175AD"/>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link w:val="Kop7Char"/>
    <w:semiHidden/>
    <w:unhideWhenUsed/>
    <w:qFormat/>
    <w:rsid w:val="00E175AD"/>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link w:val="Kop8Char"/>
    <w:semiHidden/>
    <w:unhideWhenUsed/>
    <w:qFormat/>
    <w:rsid w:val="00E175AD"/>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link w:val="Kop9Char"/>
    <w:semiHidden/>
    <w:unhideWhenUsed/>
    <w:qFormat/>
    <w:rsid w:val="00E175AD"/>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E175AD"/>
    <w:rPr>
      <w:rFonts w:ascii="DIN-Regular" w:eastAsia="Times New Roman" w:hAnsi="DIN-Regular" w:cs="Times New Roman"/>
      <w:smallCaps/>
      <w:kern w:val="28"/>
      <w:sz w:val="28"/>
      <w:szCs w:val="20"/>
      <w:lang w:eastAsia="nl-NL"/>
    </w:rPr>
  </w:style>
  <w:style w:type="character" w:customStyle="1" w:styleId="Kop2Char">
    <w:name w:val="Kop 2 Char"/>
    <w:basedOn w:val="Standaardalinea-lettertype"/>
    <w:link w:val="Kop2"/>
    <w:semiHidden/>
    <w:rsid w:val="00E175AD"/>
    <w:rPr>
      <w:rFonts w:ascii="Plantin" w:eastAsia="Times New Roman" w:hAnsi="Plantin" w:cs="Times New Roman"/>
      <w:b/>
      <w:sz w:val="20"/>
      <w:szCs w:val="20"/>
      <w:lang w:eastAsia="nl-NL"/>
    </w:rPr>
  </w:style>
  <w:style w:type="character" w:customStyle="1" w:styleId="Kop3Char">
    <w:name w:val="Kop 3 Char"/>
    <w:aliases w:val="Subparagraaf Char"/>
    <w:basedOn w:val="Standaardalinea-lettertype"/>
    <w:link w:val="Kop3"/>
    <w:semiHidden/>
    <w:rsid w:val="00E175AD"/>
    <w:rPr>
      <w:rFonts w:ascii="Plantin" w:eastAsia="Times New Roman" w:hAnsi="Plantin" w:cs="Times New Roman"/>
      <w:sz w:val="20"/>
      <w:szCs w:val="20"/>
      <w:lang w:eastAsia="nl-NL"/>
    </w:rPr>
  </w:style>
  <w:style w:type="character" w:customStyle="1" w:styleId="Kop4Char">
    <w:name w:val="Kop 4 Char"/>
    <w:basedOn w:val="Standaardalinea-lettertype"/>
    <w:link w:val="Kop4"/>
    <w:semiHidden/>
    <w:rsid w:val="00E175AD"/>
    <w:rPr>
      <w:rFonts w:ascii="Arial" w:eastAsia="Times New Roman" w:hAnsi="Arial" w:cs="Times New Roman"/>
      <w:b/>
      <w:sz w:val="24"/>
      <w:szCs w:val="20"/>
      <w:lang w:eastAsia="nl-NL"/>
    </w:rPr>
  </w:style>
  <w:style w:type="character" w:customStyle="1" w:styleId="Kop5Char">
    <w:name w:val="Kop 5 Char"/>
    <w:basedOn w:val="Standaardalinea-lettertype"/>
    <w:link w:val="Kop5"/>
    <w:semiHidden/>
    <w:rsid w:val="00E175AD"/>
    <w:rPr>
      <w:rFonts w:ascii="Plantin" w:eastAsia="Times New Roman" w:hAnsi="Plantin" w:cs="Times New Roman"/>
      <w:sz w:val="20"/>
      <w:szCs w:val="20"/>
      <w:lang w:eastAsia="nl-NL"/>
    </w:rPr>
  </w:style>
  <w:style w:type="character" w:customStyle="1" w:styleId="Kop6Char">
    <w:name w:val="Kop 6 Char"/>
    <w:basedOn w:val="Standaardalinea-lettertype"/>
    <w:link w:val="Kop6"/>
    <w:semiHidden/>
    <w:rsid w:val="00E175AD"/>
    <w:rPr>
      <w:rFonts w:ascii="Plantin" w:eastAsia="Times New Roman" w:hAnsi="Plantin" w:cs="Times New Roman"/>
      <w:sz w:val="20"/>
      <w:szCs w:val="20"/>
      <w:lang w:eastAsia="nl-NL"/>
    </w:rPr>
  </w:style>
  <w:style w:type="character" w:customStyle="1" w:styleId="Kop7Char">
    <w:name w:val="Kop 7 Char"/>
    <w:basedOn w:val="Standaardalinea-lettertype"/>
    <w:link w:val="Kop7"/>
    <w:semiHidden/>
    <w:rsid w:val="00E175AD"/>
    <w:rPr>
      <w:rFonts w:ascii="Arial" w:eastAsia="Times New Roman" w:hAnsi="Arial" w:cs="Times New Roman"/>
      <w:sz w:val="20"/>
      <w:szCs w:val="20"/>
      <w:lang w:eastAsia="nl-NL"/>
    </w:rPr>
  </w:style>
  <w:style w:type="character" w:customStyle="1" w:styleId="Kop8Char">
    <w:name w:val="Kop 8 Char"/>
    <w:basedOn w:val="Standaardalinea-lettertype"/>
    <w:link w:val="Kop8"/>
    <w:semiHidden/>
    <w:rsid w:val="00E175AD"/>
    <w:rPr>
      <w:rFonts w:ascii="Arial" w:eastAsia="Times New Roman" w:hAnsi="Arial" w:cs="Times New Roman"/>
      <w:i/>
      <w:sz w:val="20"/>
      <w:szCs w:val="20"/>
      <w:lang w:eastAsia="nl-NL"/>
    </w:rPr>
  </w:style>
  <w:style w:type="character" w:customStyle="1" w:styleId="Kop9Char">
    <w:name w:val="Kop 9 Char"/>
    <w:basedOn w:val="Standaardalinea-lettertype"/>
    <w:link w:val="Kop9"/>
    <w:semiHidden/>
    <w:rsid w:val="00E175AD"/>
    <w:rPr>
      <w:rFonts w:ascii="Arial" w:eastAsia="Times New Roman" w:hAnsi="Arial" w:cs="Times New Roman"/>
      <w:b/>
      <w:i/>
      <w:sz w:val="18"/>
      <w:szCs w:val="20"/>
      <w:lang w:eastAsia="nl-NL"/>
    </w:rPr>
  </w:style>
  <w:style w:type="character" w:styleId="Hyperlink">
    <w:name w:val="Hyperlink"/>
    <w:uiPriority w:val="99"/>
    <w:semiHidden/>
    <w:unhideWhenUsed/>
    <w:rsid w:val="00E175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mer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2045</Words>
  <Characters>11251</Characters>
  <Application>Microsoft Office Word</Application>
  <DocSecurity>0</DocSecurity>
  <Lines>93</Lines>
  <Paragraphs>26</Paragraphs>
  <ScaleCrop>false</ScaleCrop>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LK de (Lisanne)</dc:creator>
  <cp:keywords/>
  <dc:description/>
  <cp:lastModifiedBy>Vries LK de (Lisanne)</cp:lastModifiedBy>
  <cp:revision>1</cp:revision>
  <dcterms:created xsi:type="dcterms:W3CDTF">2024-06-20T09:21:00Z</dcterms:created>
  <dcterms:modified xsi:type="dcterms:W3CDTF">2024-06-20T09:21:00Z</dcterms:modified>
</cp:coreProperties>
</file>