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CE15" w14:textId="58466A78" w:rsidR="00EE3C57" w:rsidRPr="00F23701" w:rsidRDefault="00E43222" w:rsidP="00036E7C">
      <w:pPr>
        <w:pStyle w:val="Heading1"/>
      </w:pPr>
      <w:bookmarkStart w:id="0" w:name="_Toc161990683"/>
      <w:r>
        <w:t>Bijlage I</w:t>
      </w:r>
      <w:r w:rsidR="00532813">
        <w:t xml:space="preserve">. </w:t>
      </w:r>
      <w:bookmarkEnd w:id="0"/>
      <w:r>
        <w:t>BiSL</w:t>
      </w:r>
    </w:p>
    <w:p w14:paraId="54ECCBCD" w14:textId="77777777" w:rsidR="008B4996" w:rsidRPr="00F23701" w:rsidRDefault="003F7D57">
      <w:pPr>
        <w:rPr>
          <w:rFonts w:cstheme="minorHAnsi"/>
          <w:b/>
          <w:sz w:val="20"/>
          <w:szCs w:val="20"/>
        </w:rPr>
      </w:pPr>
      <w:r w:rsidRPr="00F23701">
        <w:rPr>
          <w:rFonts w:cstheme="minorHAnsi"/>
          <w:b/>
          <w:noProof/>
          <w:sz w:val="20"/>
          <w:szCs w:val="20"/>
          <w:lang w:eastAsia="nl-NL"/>
        </w:rPr>
        <mc:AlternateContent>
          <mc:Choice Requires="wps">
            <w:drawing>
              <wp:anchor distT="0" distB="0" distL="114300" distR="114300" simplePos="0" relativeHeight="251658240" behindDoc="0" locked="0" layoutInCell="1" allowOverlap="1" wp14:anchorId="77936ED6" wp14:editId="6E100F49">
                <wp:simplePos x="0" y="0"/>
                <wp:positionH relativeFrom="column">
                  <wp:posOffset>-13970</wp:posOffset>
                </wp:positionH>
                <wp:positionV relativeFrom="paragraph">
                  <wp:posOffset>130175</wp:posOffset>
                </wp:positionV>
                <wp:extent cx="6162675" cy="1"/>
                <wp:effectExtent l="0" t="0" r="9525" b="19050"/>
                <wp:wrapNone/>
                <wp:docPr id="8" name="Straight Connector 8"/>
                <wp:cNvGraphicFramePr/>
                <a:graphic xmlns:a="http://schemas.openxmlformats.org/drawingml/2006/main">
                  <a:graphicData uri="http://schemas.microsoft.com/office/word/2010/wordprocessingShape">
                    <wps:wsp>
                      <wps:cNvCnPr/>
                      <wps:spPr>
                        <a:xfrm flipV="1">
                          <a:off x="0" y="0"/>
                          <a:ext cx="6162675" cy="1"/>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49F84678" id="Straight Connector 8" o:spid="_x0000_s1026"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10.25pt" to="484.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" strokecolor="#7030a0"/>
            </w:pict>
          </mc:Fallback>
        </mc:AlternateContent>
      </w:r>
    </w:p>
    <w:p w14:paraId="26F818C4" w14:textId="17B2B368" w:rsidR="008D4388" w:rsidRDefault="008D4388" w:rsidP="00701449">
      <w:r w:rsidRPr="008D4388">
        <w:rPr>
          <w:color w:val="7030A0"/>
          <w:sz w:val="24"/>
          <w:szCs w:val="24"/>
        </w:rPr>
        <w:t>Inleiding</w:t>
      </w:r>
      <w:r>
        <w:br/>
      </w:r>
      <w:r w:rsidR="00701449">
        <w:t xml:space="preserve">Het </w:t>
      </w:r>
      <w:proofErr w:type="spellStart"/>
      <w:r w:rsidR="00701449">
        <w:t>BiSL</w:t>
      </w:r>
      <w:proofErr w:type="spellEnd"/>
      <w:r w:rsidR="00701449">
        <w:t xml:space="preserve"> raamwerk is opgebouwd uit 24 processen, verdeeld over 7 procesclusters. Een gedetailleerde beschrijving is te vinden op </w:t>
      </w:r>
      <w:hyperlink r:id="rId11" w:history="1">
        <w:r w:rsidRPr="00DF6933">
          <w:rPr>
            <w:rStyle w:val="Hyperlink"/>
          </w:rPr>
          <w:t>www.</w:t>
        </w:r>
        <w:r w:rsidRPr="00DF6933">
          <w:rPr>
            <w:rStyle w:val="Hyperlink"/>
          </w:rPr>
          <w:t>bislfoundation.nl/het-model/</w:t>
        </w:r>
      </w:hyperlink>
      <w:r w:rsidR="00701449">
        <w:t xml:space="preserve">, maar hieronder wordt volstaan met een korte beschrijving per proces.  </w:t>
      </w:r>
    </w:p>
    <w:p w14:paraId="3DEF027D" w14:textId="1A5F3654" w:rsidR="00701449" w:rsidRPr="008D4388" w:rsidRDefault="008D4388" w:rsidP="00701449">
      <w:pPr>
        <w:rPr>
          <w:color w:val="7030A0"/>
          <w:sz w:val="24"/>
          <w:szCs w:val="24"/>
        </w:rPr>
      </w:pPr>
      <w:r w:rsidRPr="008D4388">
        <w:rPr>
          <w:color w:val="7030A0"/>
          <w:sz w:val="24"/>
          <w:szCs w:val="24"/>
        </w:rPr>
        <w:t>Procescluster Gebruiksbeheer</w:t>
      </w:r>
      <w:r>
        <w:rPr>
          <w:color w:val="7030A0"/>
          <w:sz w:val="24"/>
          <w:szCs w:val="24"/>
        </w:rPr>
        <w:br/>
      </w:r>
      <w:r>
        <w:br/>
      </w:r>
      <w:r w:rsidR="00701449" w:rsidRPr="008D4388">
        <w:rPr>
          <w:i/>
          <w:iCs/>
        </w:rPr>
        <w:t>Gebruiksondersteuning</w:t>
      </w:r>
      <w:r w:rsidR="00701449">
        <w:t xml:space="preserve"> </w:t>
      </w:r>
      <w:r>
        <w:br/>
      </w:r>
      <w:r w:rsidR="00701449">
        <w:t xml:space="preserve">Het proces Gebruikersondersteuning heeft als doelstelling (eind)gebruikers optimaal met de bestaande informatievoorziening te laten werken. In dit proces wordt binnen de klantorganisatie een aanspreekpunt gerealiseerd voor de (eind)gebruikers. Via dit aanspreekpunt (doorgaans </w:t>
      </w:r>
      <w:proofErr w:type="spellStart"/>
      <w:r w:rsidR="00701449">
        <w:t>key</w:t>
      </w:r>
      <w:proofErr w:type="spellEnd"/>
      <w:r w:rsidR="00701449">
        <w:t xml:space="preserve">-users en/of functioneel beheerders) kunnen gebruikers alles wat hen belemmerd in het werk melden. Andersom kunnen vanuit Functioneel beheer oplossingen worden aangereikt, maar ook informatie over bijvoorbeeld aankomende wijzigingen worden gecommuniceerd.  </w:t>
      </w:r>
    </w:p>
    <w:p w14:paraId="07CA84F0" w14:textId="376AD11C" w:rsidR="00701449" w:rsidRDefault="00701449" w:rsidP="00701449">
      <w:r w:rsidRPr="008D4388">
        <w:rPr>
          <w:i/>
          <w:iCs/>
        </w:rPr>
        <w:t>Beheer bedrijfsinformatie</w:t>
      </w:r>
      <w:r w:rsidR="008D4388">
        <w:br/>
      </w:r>
      <w:r>
        <w:t xml:space="preserve">Het proces Beheer bedrijfsinformatie is verantwoordelijk voor een correcte opzet en inhoud van de gegevens van de informatievoorziening. Daarbij gaat het niet alleen om de gegevens in de bestanden en applicaties, maar ook om de gegevens in de niet-geautomatiseerde informatievoorziening. </w:t>
      </w:r>
    </w:p>
    <w:p w14:paraId="6FBC6961" w14:textId="25CA9086" w:rsidR="00701449" w:rsidRDefault="00701449" w:rsidP="00701449">
      <w:r w:rsidRPr="008D4388">
        <w:rPr>
          <w:i/>
          <w:iCs/>
        </w:rPr>
        <w:t>Operationele ketenafstemming</w:t>
      </w:r>
      <w:r>
        <w:t xml:space="preserve"> </w:t>
      </w:r>
      <w:r w:rsidR="008D4388">
        <w:br/>
      </w:r>
      <w:r>
        <w:t xml:space="preserve">Het proces Operationele ketenafstemming heeft als doelstelling het verzorgen van de reguliere afstemming met de ketenpartners over het delen van informatie en het gemeenschappelijk gebruik van informatiesystemen. Dit proces zorgt dus op operationeel niveau voor verbinding tussen de eigen organisatie en de andere organisaties in de keten. </w:t>
      </w:r>
    </w:p>
    <w:p w14:paraId="63093B49" w14:textId="34EB25B5" w:rsidR="00701449" w:rsidRDefault="00701449" w:rsidP="00701449">
      <w:r w:rsidRPr="008D4388">
        <w:rPr>
          <w:i/>
          <w:iCs/>
        </w:rPr>
        <w:t>Operationele IT-aansturing</w:t>
      </w:r>
      <w:r w:rsidR="008D4388">
        <w:br/>
      </w:r>
      <w:r>
        <w:t xml:space="preserve">Het proces Operationele IT-aansturing heeft als doelstelling het geven van opdrachten aan de IT-dienstverlener en de bewaking van de uitvoering van de werkzaamheden van de IT-dienstverlener en de informatievoorziening. Dit proces zorgt aldus op operationeel niveau voor de eenduidige aansturing van de in- of externe dienstverlener. </w:t>
      </w:r>
    </w:p>
    <w:p w14:paraId="28DB1CC3" w14:textId="58BA55EB" w:rsidR="008D4388" w:rsidRDefault="008D4388" w:rsidP="00701449">
      <w:r w:rsidRPr="008D4388">
        <w:rPr>
          <w:color w:val="7030A0"/>
          <w:sz w:val="24"/>
          <w:szCs w:val="24"/>
        </w:rPr>
        <w:t>Procescluster Functionaliteitenbeheer</w:t>
      </w:r>
    </w:p>
    <w:p w14:paraId="204399DE" w14:textId="641D5220" w:rsidR="00701449" w:rsidRDefault="00701449" w:rsidP="00701449">
      <w:r w:rsidRPr="008D4388">
        <w:rPr>
          <w:i/>
          <w:iCs/>
        </w:rPr>
        <w:t>Specificeren</w:t>
      </w:r>
      <w:r w:rsidR="008D4388">
        <w:br/>
      </w:r>
      <w:r>
        <w:t xml:space="preserve">Het proces Specificeren heeft als doelstelling het vastleggen van oplossingsrichtingen naar aanleiding van een door Wijzigingenbeheer aangegeven wijzigingsverzoek. Dit proces zorgt aldus voor een gedetailleerder uitwerking van het wijzigingsverzoek dat door wijzigingsbeheer is goedgekeurd. </w:t>
      </w:r>
    </w:p>
    <w:p w14:paraId="72807E05" w14:textId="77777777" w:rsidR="008D4388" w:rsidRDefault="00701449" w:rsidP="00701449">
      <w:r w:rsidRPr="008D4388">
        <w:rPr>
          <w:i/>
          <w:iCs/>
        </w:rPr>
        <w:t>Vormgeven niet-geautomatiseerde informatievoorziening</w:t>
      </w:r>
      <w:r w:rsidR="008D4388">
        <w:br/>
      </w:r>
      <w:r>
        <w:t xml:space="preserve">Het proces Vormgeven niet-geautomatiseerde informatievoorziening heeft als doelstelling het maken en up-to-date houden van documentatie voor het gebruik en het functioneel beheer van informatiesystemen. Concreet valt bij dit proces te denken aan procedures, werkprocesbeschrijvingen, werkinstructies en handleidingen. Uiteraard is synchronisatie met het geautomatiseerde deel van het informatiesysteem cruciaal. </w:t>
      </w:r>
    </w:p>
    <w:p w14:paraId="299630D5" w14:textId="78FEE330" w:rsidR="00701449" w:rsidRDefault="00701449" w:rsidP="00701449">
      <w:r w:rsidRPr="008D4388">
        <w:rPr>
          <w:i/>
          <w:iCs/>
        </w:rPr>
        <w:lastRenderedPageBreak/>
        <w:t>Toetsen en testen</w:t>
      </w:r>
      <w:r w:rsidR="008D4388">
        <w:br/>
      </w:r>
      <w:r>
        <w:t xml:space="preserve">Het proces Toetsen en testen heeft als doelstelling er zorg voor te dragen dat de gewijzigde geautomatiseerde en niet geautomatiseerde informatievoorziening correct functioneert, de bijbehorende hulpmiddelen (handleidingen, procedures, etc.) juist zijn en ook de veranderingen vlekkeloos zullen worden doorgevoerd. </w:t>
      </w:r>
    </w:p>
    <w:p w14:paraId="51841573" w14:textId="52DCBC1C" w:rsidR="00701449" w:rsidRDefault="00701449" w:rsidP="00701449">
      <w:r w:rsidRPr="008D4388">
        <w:rPr>
          <w:i/>
          <w:iCs/>
        </w:rPr>
        <w:t>Voorbereiden transitie</w:t>
      </w:r>
      <w:r w:rsidR="008D4388">
        <w:br/>
      </w:r>
      <w:r>
        <w:t xml:space="preserve">Het proces Voorbereiden transitie heeft als doelstelling de randvoorwaarden in te vullen voor een probleemloze ingebruikname van de nieuwe/gewijzigde functionaliteit. In het proces Transitie wordt vervolgens de nieuwe/gewijzigde functionaliteit werkelijk in productie genomen. Dat vergt over het algemeen werkzaamheden aan de kant van de ICT-leverancier, binnen </w:t>
      </w:r>
      <w:proofErr w:type="spellStart"/>
      <w:r>
        <w:t>BiSL</w:t>
      </w:r>
      <w:proofErr w:type="spellEnd"/>
      <w:r>
        <w:t xml:space="preserve"> wordt in de processen Voorbereiden transitie en Transitie ingezoomd op de werkzaamheden aan de klantzijde. </w:t>
      </w:r>
    </w:p>
    <w:p w14:paraId="4E143008" w14:textId="06A3CE67" w:rsidR="00701449" w:rsidRDefault="008D4388" w:rsidP="00701449">
      <w:r w:rsidRPr="008D4388">
        <w:rPr>
          <w:color w:val="7030A0"/>
          <w:sz w:val="24"/>
          <w:szCs w:val="24"/>
        </w:rPr>
        <w:t>Procescluster Verbindende processen – uitvoerend</w:t>
      </w:r>
    </w:p>
    <w:p w14:paraId="53DCCEFC" w14:textId="0739D793" w:rsidR="00701449" w:rsidRDefault="00701449" w:rsidP="00701449">
      <w:r w:rsidRPr="008D4388">
        <w:rPr>
          <w:i/>
          <w:iCs/>
        </w:rPr>
        <w:t>Wijzigingenbeheer</w:t>
      </w:r>
      <w:r w:rsidR="008D4388">
        <w:br/>
      </w:r>
      <w:r>
        <w:t xml:space="preserve">Het proces Wijzigingenbeheer heeft als doelstelling te komen tot een juiste besluitvorming aangaande het wijzigen/vernieuwen van de informatievoorziening. In het proces Wijzigingenbeheer wordt aldus vanuit de klantzijde gekeken naar de reden van de wijziging, voor welke gebruikersgroep de wijziging is bestemd, de prioriteit vanuit de klant gezien, de impact op de eindgebruikersorganisatie en natuurlijk ook naar de kosten-batenanalyse. Vanuit IT wordt evengoed naar een wijziging gekeken, maar wel degelijk op een andere wijze. De impact wordt aan de IT-zijde ingevuld als zijnde de impact op de bestaande IT-systemen. Dat is zeker ook een nuttig aspect, maar wel een heel andere invalshoek om een wijziging te beschouwen. Uiteindelijk is het logischerwijs aan te bevelen een wijziging zowel vanuit de klantorganisatie als vanuit IT te beschouwen en daarna een weloverwogen besluit te nemen. Er is bij het proces Wijzigingenbeheer dus een zeer nauwe relatie met het gelijknamige proces aan de IT-zijde, maar de invulling kent aanzienlijke verschillen. </w:t>
      </w:r>
    </w:p>
    <w:p w14:paraId="6CA0D3E2" w14:textId="22589910" w:rsidR="00701449" w:rsidRPr="008D4388" w:rsidRDefault="00701449" w:rsidP="00701449">
      <w:pPr>
        <w:rPr>
          <w:i/>
          <w:iCs/>
        </w:rPr>
      </w:pPr>
      <w:r w:rsidRPr="008D4388">
        <w:rPr>
          <w:i/>
          <w:iCs/>
        </w:rPr>
        <w:t>Transitie</w:t>
      </w:r>
      <w:r w:rsidR="008D4388">
        <w:rPr>
          <w:i/>
          <w:iCs/>
        </w:rPr>
        <w:br/>
      </w:r>
      <w:r>
        <w:t xml:space="preserve">Het proces Transitie heeft als doelstelling de daadwerkelijke ingebruikname van de nieuwe/gewijzigde functionaliteit, waardoor deze beschikbaar wordt voor eindgebruikers. In het proces Transitie wordt de nieuwe/gewijzigde functionaliteit werkelijk in productie genomen. Dat vergt over het algemeen een aanzienlijke hoeveelheid werkzaamheden aan de kant van de ICT-leverancier. Binnen </w:t>
      </w:r>
      <w:proofErr w:type="spellStart"/>
      <w:r>
        <w:t>BiSL</w:t>
      </w:r>
      <w:proofErr w:type="spellEnd"/>
      <w:r>
        <w:t xml:space="preserve"> wordt in het proces Transitie ingezoomd op de werkzaamheden aan de klantzijde. </w:t>
      </w:r>
    </w:p>
    <w:p w14:paraId="195B0D23" w14:textId="425D4828" w:rsidR="008D4388" w:rsidRDefault="008D4388" w:rsidP="008D4388">
      <w:r w:rsidRPr="008D4388">
        <w:rPr>
          <w:color w:val="7030A0"/>
          <w:sz w:val="24"/>
          <w:szCs w:val="24"/>
        </w:rPr>
        <w:t>Procescluster Sturende processen</w:t>
      </w:r>
    </w:p>
    <w:p w14:paraId="660A8CE0" w14:textId="48073E55" w:rsidR="00701449" w:rsidRDefault="00701449" w:rsidP="00701449">
      <w:r w:rsidRPr="008D4388">
        <w:rPr>
          <w:i/>
          <w:iCs/>
        </w:rPr>
        <w:t>Behoeftemanagement</w:t>
      </w:r>
      <w:r w:rsidR="008D4388" w:rsidRPr="008D4388">
        <w:rPr>
          <w:i/>
          <w:iCs/>
        </w:rPr>
        <w:br/>
      </w:r>
      <w:r>
        <w:t xml:space="preserve">Het proces Behoeftemanagement heeft als doelstelling het ervoor zorgdragen dat bedrijfsprocessen worden ondersteund of ingevuld door de juiste informatievoorziening en bijbehorende organisatie van business informatiemanagement. Nieuwe behoeften worden onderkend en besluitvorming vindt hier plaats. In de praktijk trekt dit proces de aandacht omdat dit het gat tussen strategie en RFC invult. Binnen veel organisaties wordt middels een proces als wijzigingenbeheer de afhandeling van </w:t>
      </w:r>
      <w:proofErr w:type="spellStart"/>
      <w:r>
        <w:t>RFC’s</w:t>
      </w:r>
      <w:proofErr w:type="spellEnd"/>
      <w:r>
        <w:t xml:space="preserve"> redelijk onder controle gehouden. Op strategisch niveau is steeds meer activiteit, maar zonder </w:t>
      </w:r>
      <w:r>
        <w:lastRenderedPageBreak/>
        <w:t xml:space="preserve">verbinding tussen deze twee niveaus blijft met name strategie op dat niveau hangen: het leidt eenvoudigweg niet tot concrete, tastbare resultaten. Met behulp van Behoeftemanagement is deze brug wel te slaan. </w:t>
      </w:r>
    </w:p>
    <w:p w14:paraId="06D33DC9" w14:textId="0A0CCE42" w:rsidR="00701449" w:rsidRDefault="00701449" w:rsidP="00701449">
      <w:r w:rsidRPr="008D4388">
        <w:rPr>
          <w:i/>
          <w:iCs/>
        </w:rPr>
        <w:t>Planning en control</w:t>
      </w:r>
      <w:r w:rsidR="008D4388">
        <w:br/>
      </w:r>
      <w:r>
        <w:t xml:space="preserve">Het proces Planning en control heeft als doelstelling het plannen, bewaken en bijsturen van de tijd en inzet van mensen ten behoeve van alle activiteiten rondom informatievoorziening. De noodzakelijke inzet moet vanzelfsprekend op tijd worden gerealiseerd en waar nodig geoptimaliseerd. De planning en bewaking van de menscapaciteit moet uiteraard worden afgestemd op de planning van bijvoorbeeld de eigen gebruikersorganisatie en de IT-organisatie. Inhoudelijk gezien kan bij de inzet van menscapaciteit worden gedacht aan inzet bij wijzigingen en projecten, maar over het algemeen dient ook een forse hoeveelheid capaciteit te worden gepland voor het operationele werk zoals gebruikersondersteuning. Dat laatste wordt vaak onderschat maar vormt voor </w:t>
      </w:r>
      <w:proofErr w:type="spellStart"/>
      <w:r>
        <w:t>key</w:t>
      </w:r>
      <w:proofErr w:type="spellEnd"/>
      <w:r>
        <w:t xml:space="preserve">-users en functioneel beheerders vaak tientallen procenten van de totaal beschikbare tijd. </w:t>
      </w:r>
    </w:p>
    <w:p w14:paraId="69E9F664" w14:textId="0A9CC01F" w:rsidR="00701449" w:rsidRDefault="00701449" w:rsidP="00701449">
      <w:r w:rsidRPr="008D4388">
        <w:rPr>
          <w:i/>
          <w:iCs/>
        </w:rPr>
        <w:t>Financieel management</w:t>
      </w:r>
      <w:r w:rsidR="008D4388" w:rsidRPr="008D4388">
        <w:rPr>
          <w:i/>
          <w:iCs/>
        </w:rPr>
        <w:br/>
      </w:r>
      <w:r>
        <w:t xml:space="preserve">Het proces Financieel management heeft als doelstelling het plannen, bewaken en bijsturen van de kosteneffectieve inzet van IT-middelen voor de organisatie. </w:t>
      </w:r>
    </w:p>
    <w:p w14:paraId="57E0F371" w14:textId="1A8639DC" w:rsidR="00701449" w:rsidRDefault="00701449" w:rsidP="00701449">
      <w:r w:rsidRPr="008D4388">
        <w:rPr>
          <w:i/>
          <w:iCs/>
        </w:rPr>
        <w:t>Contractmanagement</w:t>
      </w:r>
      <w:r w:rsidR="008D4388">
        <w:br/>
      </w:r>
      <w:r>
        <w:t xml:space="preserve">Het proces Contractmanagement heeft als doelstelling het maken, bewaken en bijsturen van afspraken met IT-leveranciers betreffende te leveren producten en diensten. Behalve inhoudelijke aspecten moeten ook over het niveau van dienstverlening meetbare afspraken zijn gemaakt. </w:t>
      </w:r>
    </w:p>
    <w:p w14:paraId="65D5F206" w14:textId="3DDEDC5F" w:rsidR="008D4388" w:rsidRDefault="008D4388" w:rsidP="008D4388">
      <w:r w:rsidRPr="008D4388">
        <w:rPr>
          <w:color w:val="7030A0"/>
          <w:sz w:val="24"/>
          <w:szCs w:val="24"/>
        </w:rPr>
        <w:t>Procescluster Opstellen informatiestrategie</w:t>
      </w:r>
    </w:p>
    <w:p w14:paraId="45B5C7EB" w14:textId="1556AFAB" w:rsidR="00701449" w:rsidRDefault="00701449" w:rsidP="00701449">
      <w:r w:rsidRPr="008D4388">
        <w:rPr>
          <w:i/>
          <w:iCs/>
        </w:rPr>
        <w:t>Bepalen ketenontwikkelingen</w:t>
      </w:r>
      <w:r w:rsidR="008D4388">
        <w:br/>
      </w:r>
      <w:r>
        <w:t xml:space="preserve">Het doel van het proces Bepalen ketenontwikkelingen is het in kaart brengen van de ontwikkelingen in de ketens waarin de organisatie zich bevindt en de gevolgen daarvan voor de informatievoorziening van de eigen organisatie. </w:t>
      </w:r>
    </w:p>
    <w:p w14:paraId="71887F94" w14:textId="1A44261C" w:rsidR="00701449" w:rsidRDefault="00701449" w:rsidP="00701449">
      <w:r w:rsidRPr="008D4388">
        <w:rPr>
          <w:i/>
          <w:iCs/>
        </w:rPr>
        <w:t>Bepalen bedrijfsprocesontwikkelingen</w:t>
      </w:r>
      <w:r w:rsidR="008D4388">
        <w:br/>
      </w:r>
      <w:r>
        <w:t>Het doel van het proces Bepalen bedrijfsprocesontwikkelingen is het in kaart brengen van de</w:t>
      </w:r>
      <w:r w:rsidR="008D4388">
        <w:t xml:space="preserve"> </w:t>
      </w:r>
      <w:r>
        <w:t xml:space="preserve">ontwikkelingen in de eigen organisatie en de gevolgen daarvan voor de informatievoorziening van de eigen organisatie. </w:t>
      </w:r>
    </w:p>
    <w:p w14:paraId="1CBBAE1E" w14:textId="3FC6E9AC" w:rsidR="00701449" w:rsidRDefault="00701449" w:rsidP="00701449">
      <w:r w:rsidRPr="008D4388">
        <w:rPr>
          <w:i/>
          <w:iCs/>
        </w:rPr>
        <w:t>Bepalen technologieontwikkelingen</w:t>
      </w:r>
      <w:r w:rsidR="008D4388">
        <w:br/>
      </w:r>
      <w:r>
        <w:t xml:space="preserve">Het doel van het proces Bepalen technologieontwikkelingen is het in kaart brengen van de ontwikkelingen in technologie en de gevolgen daarvan voor de informatievoorziening van de eigen organisatie. </w:t>
      </w:r>
    </w:p>
    <w:p w14:paraId="2D6712AA" w14:textId="4F67A96E" w:rsidR="00701449" w:rsidRDefault="00701449" w:rsidP="00701449">
      <w:r w:rsidRPr="008D4388">
        <w:rPr>
          <w:i/>
          <w:iCs/>
        </w:rPr>
        <w:t>Informatie-</w:t>
      </w:r>
      <w:proofErr w:type="spellStart"/>
      <w:r w:rsidRPr="008D4388">
        <w:rPr>
          <w:i/>
          <w:iCs/>
        </w:rPr>
        <w:t>lifecyclemanagement</w:t>
      </w:r>
      <w:proofErr w:type="spellEnd"/>
      <w:r w:rsidR="008D4388">
        <w:br/>
      </w:r>
      <w:r>
        <w:t>Het doel van het proces Informatie-</w:t>
      </w:r>
      <w:proofErr w:type="spellStart"/>
      <w:r>
        <w:t>lifecyclemanagement</w:t>
      </w:r>
      <w:proofErr w:type="spellEnd"/>
      <w:r>
        <w:t xml:space="preserve"> is het ontwikkelen van een strategie voor de informatievoorziening binnen een specifiek informatiedomein. Een informatiedomein, ook wel informatiegebied of informatiebeheergebied genoemd, is een afgebakend deel binnen een </w:t>
      </w:r>
      <w:r>
        <w:lastRenderedPageBreak/>
        <w:t xml:space="preserve">gebruikersorganisatie met een eigen bedrijfsproces en specifiek benodigde kennis. Voorbeelden zijn bijvoorbeeld financiën, hrm, inkoop, productie, sales. </w:t>
      </w:r>
    </w:p>
    <w:p w14:paraId="3D75B23F" w14:textId="6C0B33C4" w:rsidR="00701449" w:rsidRDefault="00701449" w:rsidP="00701449">
      <w:r w:rsidRPr="008D4388">
        <w:rPr>
          <w:i/>
          <w:iCs/>
        </w:rPr>
        <w:t>Informatie portfolio management</w:t>
      </w:r>
      <w:r w:rsidR="008D4388">
        <w:br/>
      </w:r>
      <w:r>
        <w:t xml:space="preserve">Het doel van het proces Informatie-portfoliomanagement is het ontwikkelen van een strategie betreffende informatievoorziening voor de gehele organisatie. </w:t>
      </w:r>
    </w:p>
    <w:p w14:paraId="2299E0AC" w14:textId="756CED1A" w:rsidR="008D4388" w:rsidRDefault="008D4388" w:rsidP="008D4388">
      <w:r w:rsidRPr="008D4388">
        <w:rPr>
          <w:color w:val="7030A0"/>
          <w:sz w:val="24"/>
          <w:szCs w:val="24"/>
        </w:rPr>
        <w:t>Procescluster IV-organisatiestrategie</w:t>
      </w:r>
    </w:p>
    <w:p w14:paraId="385C3883" w14:textId="60FCBA70" w:rsidR="00701449" w:rsidRDefault="00701449" w:rsidP="00701449">
      <w:r>
        <w:t>Leveranciersmanagement</w:t>
      </w:r>
      <w:r w:rsidR="008D4388">
        <w:br/>
      </w:r>
      <w:r>
        <w:t xml:space="preserve">Het proces Leveranciersmanagement heeft als doelstelling te bepalen welke leveranciers het meest geschikt zijn voor de gewenste informatievoorziening en ook de rol en verantwoordelijkheden van die leveranciers te bepalen. </w:t>
      </w:r>
    </w:p>
    <w:p w14:paraId="1D895570" w14:textId="4E94F7D0" w:rsidR="00701449" w:rsidRDefault="00701449" w:rsidP="00701449">
      <w:r>
        <w:t>Relatiemanagement gebruikersorganisatie</w:t>
      </w:r>
      <w:r w:rsidR="008D4388">
        <w:br/>
      </w:r>
      <w:r>
        <w:t xml:space="preserve">Het proces Relatiemanagement gebruikersorganisatie heeft als doelstelling het vormgeven en bewaken van de consistentie, samenhang en communicatie tussen de IV-functie en de gebruikersorganisatie. Hoewel de doelstelling wellicht wat abstract is, is het wel een proces dat een essentieel punt van de organisatie van informatievoorziening raakt. Hier wordt namelijk uitgewerkt hoe en waar met name </w:t>
      </w:r>
      <w:proofErr w:type="spellStart"/>
      <w:r>
        <w:t>key</w:t>
      </w:r>
      <w:proofErr w:type="spellEnd"/>
      <w:r>
        <w:t xml:space="preserve"> users, functioneel beheerders en informatiemanagers (om maar de drie meest gebruikte te benoemen) werken. Het blijkt voor met name </w:t>
      </w:r>
      <w:proofErr w:type="spellStart"/>
      <w:r>
        <w:t>key</w:t>
      </w:r>
      <w:proofErr w:type="spellEnd"/>
      <w:r>
        <w:t xml:space="preserve">-users en functioneel beheerders die decentraal, dus binnen een gebruikersafdeling, werken, heel lastig om hun positie ten opzichte van die afdeling goed te bepalen. </w:t>
      </w:r>
    </w:p>
    <w:p w14:paraId="0F637CED" w14:textId="5DD1CEE0" w:rsidR="00701449" w:rsidRDefault="00701449" w:rsidP="00701449">
      <w:r>
        <w:t>Ketenpartners management</w:t>
      </w:r>
      <w:r w:rsidR="008D4388">
        <w:br/>
      </w:r>
      <w:r>
        <w:t xml:space="preserve">Het proces Ketenpartners management heeft als doelstelling zodanige samenwerkingsverbanden met andere organisaties (ketenpartners) te organiseren dat op basis hiervan informatie-uitwisseling met deze organisaties kan plaatsvinden. </w:t>
      </w:r>
    </w:p>
    <w:p w14:paraId="47BC3915" w14:textId="2962D840" w:rsidR="00701449" w:rsidRDefault="00701449" w:rsidP="00701449">
      <w:r>
        <w:t>Strategie inrichting IV-functie</w:t>
      </w:r>
      <w:r w:rsidR="008D4388">
        <w:br/>
      </w:r>
      <w:r>
        <w:t xml:space="preserve">Het proces Strategie inrichting IV-functie heeft als doelstelling het definiëren van de gewenste inrichting van de IV-functie: organisatievorm, verantwoordelijkheden, uitvoering en samenwerking. </w:t>
      </w:r>
    </w:p>
    <w:p w14:paraId="0CE0DC77" w14:textId="7CBDBD49" w:rsidR="008D4388" w:rsidRDefault="008D4388" w:rsidP="00701449">
      <w:r w:rsidRPr="008D4388">
        <w:rPr>
          <w:color w:val="7030A0"/>
          <w:sz w:val="24"/>
          <w:szCs w:val="24"/>
        </w:rPr>
        <w:t>Procescluster Verbindende processen – richtinggevend</w:t>
      </w:r>
    </w:p>
    <w:p w14:paraId="06DFED60" w14:textId="14550743" w:rsidR="00701449" w:rsidRPr="00701449" w:rsidRDefault="00701449" w:rsidP="00701449">
      <w:r w:rsidRPr="008D4388">
        <w:rPr>
          <w:i/>
          <w:iCs/>
        </w:rPr>
        <w:t>Informatiecoördinatie</w:t>
      </w:r>
      <w:r w:rsidR="008D4388">
        <w:br/>
      </w:r>
      <w:r>
        <w:t xml:space="preserve">Het doel van het proces Informatiecoördinatie is bewaken en begeleiden van de samenhang tussen de plannen voor de informatievoorziening en de plannen voor de inrichting van de IV-organisatie. Het proces is niet bepalend, maar coördinerend van aard. Uit de positie van het proces in het </w:t>
      </w:r>
      <w:proofErr w:type="spellStart"/>
      <w:r>
        <w:t>BiSL</w:t>
      </w:r>
      <w:proofErr w:type="spellEnd"/>
      <w:r>
        <w:t xml:space="preserve"> model is goed af te leiden welke twee procesclusters op strategisch niveau op elkaar worden afgestemd: rechtsboven Opstellen informatiestrategie en linksboven Opstellen IV-organisatiestrategie.</w:t>
      </w:r>
    </w:p>
    <w:sectPr w:rsidR="00701449" w:rsidRPr="00701449" w:rsidSect="00B6166F">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1CD16" w14:textId="77777777" w:rsidR="00B6166F" w:rsidRDefault="00B6166F" w:rsidP="00212982">
      <w:pPr>
        <w:spacing w:after="0" w:line="240" w:lineRule="auto"/>
      </w:pPr>
      <w:r>
        <w:separator/>
      </w:r>
    </w:p>
  </w:endnote>
  <w:endnote w:type="continuationSeparator" w:id="0">
    <w:p w14:paraId="264BF233" w14:textId="77777777" w:rsidR="00B6166F" w:rsidRDefault="00B6166F" w:rsidP="00212982">
      <w:pPr>
        <w:spacing w:after="0" w:line="240" w:lineRule="auto"/>
      </w:pPr>
      <w:r>
        <w:continuationSeparator/>
      </w:r>
    </w:p>
  </w:endnote>
  <w:endnote w:type="continuationNotice" w:id="1">
    <w:p w14:paraId="2C04C169" w14:textId="77777777" w:rsidR="00B6166F" w:rsidRDefault="00B616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EB1C" w14:textId="77777777" w:rsidR="003B575C" w:rsidRDefault="003B575C">
    <w:pPr>
      <w:pStyle w:val="Footer"/>
      <w:jc w:val="right"/>
    </w:pPr>
  </w:p>
  <w:p w14:paraId="70FF3F8D" w14:textId="77777777" w:rsidR="003B575C" w:rsidRDefault="003B575C">
    <w:pPr>
      <w:pStyle w:val="Footer"/>
      <w:jc w:val="right"/>
    </w:pPr>
  </w:p>
  <w:p w14:paraId="6BD5BD1A" w14:textId="68F152E1" w:rsidR="003B575C" w:rsidRDefault="008D4388">
    <w:pPr>
      <w:pStyle w:val="Footer"/>
      <w:jc w:val="right"/>
    </w:pPr>
    <w:sdt>
      <w:sdtPr>
        <w:id w:val="502022236"/>
        <w:docPartObj>
          <w:docPartGallery w:val="Page Numbers (Bottom of Page)"/>
          <w:docPartUnique/>
        </w:docPartObj>
      </w:sdtPr>
      <w:sdtEndPr/>
      <w:sdtContent>
        <w:r w:rsidR="003B575C">
          <w:fldChar w:fldCharType="begin"/>
        </w:r>
        <w:r w:rsidR="003B575C">
          <w:instrText>PAGE   \* MERGEFORMAT</w:instrText>
        </w:r>
        <w:r w:rsidR="003B575C">
          <w:fldChar w:fldCharType="separate"/>
        </w:r>
        <w:r w:rsidR="003B575C">
          <w:rPr>
            <w:noProof/>
          </w:rPr>
          <w:t>10</w:t>
        </w:r>
        <w:r w:rsidR="003B575C">
          <w:fldChar w:fldCharType="end"/>
        </w:r>
      </w:sdtContent>
    </w:sdt>
  </w:p>
  <w:p w14:paraId="5604A858" w14:textId="77777777" w:rsidR="003B575C" w:rsidRDefault="003B5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1342C" w14:textId="77777777" w:rsidR="00B6166F" w:rsidRDefault="00B6166F" w:rsidP="00212982">
      <w:pPr>
        <w:spacing w:after="0" w:line="240" w:lineRule="auto"/>
      </w:pPr>
      <w:r>
        <w:separator/>
      </w:r>
    </w:p>
  </w:footnote>
  <w:footnote w:type="continuationSeparator" w:id="0">
    <w:p w14:paraId="6F5C8B5F" w14:textId="77777777" w:rsidR="00B6166F" w:rsidRDefault="00B6166F" w:rsidP="00212982">
      <w:pPr>
        <w:spacing w:after="0" w:line="240" w:lineRule="auto"/>
      </w:pPr>
      <w:r>
        <w:continuationSeparator/>
      </w:r>
    </w:p>
  </w:footnote>
  <w:footnote w:type="continuationNotice" w:id="1">
    <w:p w14:paraId="76822A1F" w14:textId="77777777" w:rsidR="00B6166F" w:rsidRDefault="00B616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397F" w14:textId="296FDAD3" w:rsidR="003B575C" w:rsidRDefault="003B575C" w:rsidP="00A60853">
    <w:pPr>
      <w:pStyle w:val="Header"/>
      <w:tabs>
        <w:tab w:val="clear" w:pos="4536"/>
        <w:tab w:val="clear" w:pos="9072"/>
        <w:tab w:val="left" w:pos="3075"/>
      </w:tabs>
    </w:pPr>
    <w:r>
      <w:t xml:space="preserve">                                                                                                                                                    </w:t>
    </w:r>
    <w:r>
      <w:rPr>
        <w:noProof/>
        <w:lang w:eastAsia="nl-NL"/>
      </w:rPr>
      <w:drawing>
        <wp:inline distT="0" distB="0" distL="0" distR="0" wp14:anchorId="369C8F63" wp14:editId="44964628">
          <wp:extent cx="1063703" cy="647700"/>
          <wp:effectExtent l="0" t="0" r="3175" b="0"/>
          <wp:docPr id="6" name="Picture 6"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662" cy="6555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B26"/>
    <w:multiLevelType w:val="hybridMultilevel"/>
    <w:tmpl w:val="871A90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BA86BCA"/>
    <w:multiLevelType w:val="hybridMultilevel"/>
    <w:tmpl w:val="0C1A8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6583F"/>
    <w:multiLevelType w:val="hybridMultilevel"/>
    <w:tmpl w:val="6D9A197E"/>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D4B75"/>
    <w:multiLevelType w:val="hybridMultilevel"/>
    <w:tmpl w:val="24564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976A3"/>
    <w:multiLevelType w:val="multilevel"/>
    <w:tmpl w:val="1B82C9DC"/>
    <w:styleLink w:val="LFO6"/>
    <w:lvl w:ilvl="0">
      <w:start w:val="1"/>
      <w:numFmt w:val="decimal"/>
      <w:pStyle w:val="Eisen"/>
      <w:lvlText w:val="Eis %1"/>
      <w:lvlJc w:val="left"/>
      <w:pPr>
        <w:ind w:left="851" w:hanging="851"/>
      </w:pPr>
      <w:rPr>
        <w:rFonts w:cs="Times New Roman"/>
        <w:b/>
        <w:bCs w:val="0"/>
        <w:i w:val="0"/>
        <w:iCs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F96639"/>
    <w:multiLevelType w:val="hybridMultilevel"/>
    <w:tmpl w:val="EDBC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05612"/>
    <w:multiLevelType w:val="hybridMultilevel"/>
    <w:tmpl w:val="50A8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F74CB"/>
    <w:multiLevelType w:val="hybridMultilevel"/>
    <w:tmpl w:val="B6C0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8F7229"/>
    <w:multiLevelType w:val="hybridMultilevel"/>
    <w:tmpl w:val="A21A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B46CDD"/>
    <w:multiLevelType w:val="hybridMultilevel"/>
    <w:tmpl w:val="782EF8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676258"/>
    <w:multiLevelType w:val="hybridMultilevel"/>
    <w:tmpl w:val="BC8AA838"/>
    <w:lvl w:ilvl="0" w:tplc="15AE153C">
      <w:start w:val="1"/>
      <w:numFmt w:val="decimal"/>
      <w:lvlText w:val="%1."/>
      <w:lvlJc w:val="left"/>
      <w:pPr>
        <w:ind w:left="360" w:hanging="360"/>
      </w:pPr>
      <w:rPr>
        <w:color w:val="7030A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A31C25"/>
    <w:multiLevelType w:val="multilevel"/>
    <w:tmpl w:val="C4EC2042"/>
    <w:lvl w:ilvl="0">
      <w:start w:val="1"/>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EFE3431"/>
    <w:multiLevelType w:val="hybridMultilevel"/>
    <w:tmpl w:val="D3C2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B800A3"/>
    <w:multiLevelType w:val="hybridMultilevel"/>
    <w:tmpl w:val="1884DAE0"/>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FA02B8"/>
    <w:multiLevelType w:val="hybridMultilevel"/>
    <w:tmpl w:val="DA7EBE4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AA7F70"/>
    <w:multiLevelType w:val="hybridMultilevel"/>
    <w:tmpl w:val="608A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D562D6"/>
    <w:multiLevelType w:val="hybridMultilevel"/>
    <w:tmpl w:val="AD6C76E0"/>
    <w:lvl w:ilvl="0" w:tplc="56B250E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F57B1"/>
    <w:multiLevelType w:val="hybridMultilevel"/>
    <w:tmpl w:val="0134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80334"/>
    <w:multiLevelType w:val="hybridMultilevel"/>
    <w:tmpl w:val="3C7C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8618A3"/>
    <w:multiLevelType w:val="hybridMultilevel"/>
    <w:tmpl w:val="D6CA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343AE7"/>
    <w:multiLevelType w:val="hybridMultilevel"/>
    <w:tmpl w:val="BE1EF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9F562E"/>
    <w:multiLevelType w:val="hybridMultilevel"/>
    <w:tmpl w:val="01883EC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BC3BE3"/>
    <w:multiLevelType w:val="hybridMultilevel"/>
    <w:tmpl w:val="891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707826">
    <w:abstractNumId w:val="16"/>
  </w:num>
  <w:num w:numId="2" w16cid:durableId="275062000">
    <w:abstractNumId w:val="12"/>
  </w:num>
  <w:num w:numId="3" w16cid:durableId="1281953264">
    <w:abstractNumId w:val="22"/>
  </w:num>
  <w:num w:numId="4" w16cid:durableId="538055974">
    <w:abstractNumId w:val="4"/>
  </w:num>
  <w:num w:numId="5" w16cid:durableId="659888191">
    <w:abstractNumId w:val="8"/>
  </w:num>
  <w:num w:numId="6" w16cid:durableId="510997278">
    <w:abstractNumId w:val="18"/>
  </w:num>
  <w:num w:numId="7" w16cid:durableId="1556157201">
    <w:abstractNumId w:val="10"/>
  </w:num>
  <w:num w:numId="8" w16cid:durableId="1672953425">
    <w:abstractNumId w:val="0"/>
  </w:num>
  <w:num w:numId="9" w16cid:durableId="1921060547">
    <w:abstractNumId w:val="24"/>
  </w:num>
  <w:num w:numId="10" w16cid:durableId="805006547">
    <w:abstractNumId w:val="5"/>
  </w:num>
  <w:num w:numId="11" w16cid:durableId="751052827">
    <w:abstractNumId w:val="11"/>
  </w:num>
  <w:num w:numId="12" w16cid:durableId="2106031275">
    <w:abstractNumId w:val="2"/>
  </w:num>
  <w:num w:numId="13" w16cid:durableId="750082923">
    <w:abstractNumId w:val="15"/>
  </w:num>
  <w:num w:numId="14" w16cid:durableId="803081942">
    <w:abstractNumId w:val="19"/>
  </w:num>
  <w:num w:numId="15" w16cid:durableId="1316445843">
    <w:abstractNumId w:val="23"/>
  </w:num>
  <w:num w:numId="16" w16cid:durableId="1309213505">
    <w:abstractNumId w:val="25"/>
  </w:num>
  <w:num w:numId="17" w16cid:durableId="1393231920">
    <w:abstractNumId w:val="9"/>
  </w:num>
  <w:num w:numId="18" w16cid:durableId="1064447017">
    <w:abstractNumId w:val="14"/>
  </w:num>
  <w:num w:numId="19" w16cid:durableId="1313945901">
    <w:abstractNumId w:val="7"/>
  </w:num>
  <w:num w:numId="20" w16cid:durableId="1715344351">
    <w:abstractNumId w:val="1"/>
  </w:num>
  <w:num w:numId="21" w16cid:durableId="463357119">
    <w:abstractNumId w:val="3"/>
  </w:num>
  <w:num w:numId="22" w16cid:durableId="291988172">
    <w:abstractNumId w:val="21"/>
  </w:num>
  <w:num w:numId="23" w16cid:durableId="532427427">
    <w:abstractNumId w:val="17"/>
  </w:num>
  <w:num w:numId="24" w16cid:durableId="862286824">
    <w:abstractNumId w:val="20"/>
  </w:num>
  <w:num w:numId="25" w16cid:durableId="261643667">
    <w:abstractNumId w:val="6"/>
  </w:num>
  <w:num w:numId="26" w16cid:durableId="164450254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909"/>
    <w:rsid w:val="0000187C"/>
    <w:rsid w:val="00010417"/>
    <w:rsid w:val="000113EC"/>
    <w:rsid w:val="00011BD1"/>
    <w:rsid w:val="00012D7E"/>
    <w:rsid w:val="00015092"/>
    <w:rsid w:val="00015797"/>
    <w:rsid w:val="00016693"/>
    <w:rsid w:val="000259EC"/>
    <w:rsid w:val="00025B41"/>
    <w:rsid w:val="00026CAC"/>
    <w:rsid w:val="00026D9E"/>
    <w:rsid w:val="000310B7"/>
    <w:rsid w:val="0003263A"/>
    <w:rsid w:val="00035068"/>
    <w:rsid w:val="00035D21"/>
    <w:rsid w:val="00036E7C"/>
    <w:rsid w:val="00040209"/>
    <w:rsid w:val="00043710"/>
    <w:rsid w:val="00050147"/>
    <w:rsid w:val="00052184"/>
    <w:rsid w:val="000548A0"/>
    <w:rsid w:val="00055FEE"/>
    <w:rsid w:val="00057393"/>
    <w:rsid w:val="00062F72"/>
    <w:rsid w:val="00072901"/>
    <w:rsid w:val="00083AB2"/>
    <w:rsid w:val="00084D99"/>
    <w:rsid w:val="00085C40"/>
    <w:rsid w:val="0008738C"/>
    <w:rsid w:val="000903D3"/>
    <w:rsid w:val="00091AD2"/>
    <w:rsid w:val="00093039"/>
    <w:rsid w:val="00094951"/>
    <w:rsid w:val="000A2D65"/>
    <w:rsid w:val="000A4F63"/>
    <w:rsid w:val="000A7851"/>
    <w:rsid w:val="000B5399"/>
    <w:rsid w:val="000B5C21"/>
    <w:rsid w:val="000B7152"/>
    <w:rsid w:val="000C609D"/>
    <w:rsid w:val="000D335D"/>
    <w:rsid w:val="000E46CB"/>
    <w:rsid w:val="000E7F9D"/>
    <w:rsid w:val="000F10A5"/>
    <w:rsid w:val="000F1B12"/>
    <w:rsid w:val="000F5AE6"/>
    <w:rsid w:val="00101012"/>
    <w:rsid w:val="001031FC"/>
    <w:rsid w:val="0010350D"/>
    <w:rsid w:val="00103AF7"/>
    <w:rsid w:val="00104750"/>
    <w:rsid w:val="00105DEB"/>
    <w:rsid w:val="00111BC9"/>
    <w:rsid w:val="00113043"/>
    <w:rsid w:val="0011560E"/>
    <w:rsid w:val="00116D54"/>
    <w:rsid w:val="00120BDC"/>
    <w:rsid w:val="00120FE7"/>
    <w:rsid w:val="0012741D"/>
    <w:rsid w:val="00133578"/>
    <w:rsid w:val="00134364"/>
    <w:rsid w:val="00134695"/>
    <w:rsid w:val="001346B4"/>
    <w:rsid w:val="001377B6"/>
    <w:rsid w:val="00152451"/>
    <w:rsid w:val="00152EF5"/>
    <w:rsid w:val="0015434B"/>
    <w:rsid w:val="001562A9"/>
    <w:rsid w:val="00160DDB"/>
    <w:rsid w:val="00162E95"/>
    <w:rsid w:val="00165269"/>
    <w:rsid w:val="00166450"/>
    <w:rsid w:val="0017326E"/>
    <w:rsid w:val="00174326"/>
    <w:rsid w:val="001768E5"/>
    <w:rsid w:val="00177135"/>
    <w:rsid w:val="0018041D"/>
    <w:rsid w:val="00183007"/>
    <w:rsid w:val="00196091"/>
    <w:rsid w:val="001963F5"/>
    <w:rsid w:val="00196CF4"/>
    <w:rsid w:val="001A0E41"/>
    <w:rsid w:val="001A34EC"/>
    <w:rsid w:val="001B1F14"/>
    <w:rsid w:val="001B287C"/>
    <w:rsid w:val="001B5BAE"/>
    <w:rsid w:val="001B5C8D"/>
    <w:rsid w:val="001D2364"/>
    <w:rsid w:val="001D325F"/>
    <w:rsid w:val="001D36AA"/>
    <w:rsid w:val="001D3EBD"/>
    <w:rsid w:val="001D4124"/>
    <w:rsid w:val="001E094D"/>
    <w:rsid w:val="001E0D9A"/>
    <w:rsid w:val="001E1093"/>
    <w:rsid w:val="001E39FA"/>
    <w:rsid w:val="001E7408"/>
    <w:rsid w:val="001F2620"/>
    <w:rsid w:val="001F7226"/>
    <w:rsid w:val="002038EE"/>
    <w:rsid w:val="002072E1"/>
    <w:rsid w:val="002075BA"/>
    <w:rsid w:val="00211A4B"/>
    <w:rsid w:val="00212982"/>
    <w:rsid w:val="00212C58"/>
    <w:rsid w:val="00213D71"/>
    <w:rsid w:val="00217B2B"/>
    <w:rsid w:val="0022278E"/>
    <w:rsid w:val="00224966"/>
    <w:rsid w:val="00230CD4"/>
    <w:rsid w:val="00233184"/>
    <w:rsid w:val="00237B2C"/>
    <w:rsid w:val="002400C0"/>
    <w:rsid w:val="00241533"/>
    <w:rsid w:val="00243195"/>
    <w:rsid w:val="002452CD"/>
    <w:rsid w:val="00256F4B"/>
    <w:rsid w:val="0026399C"/>
    <w:rsid w:val="00266479"/>
    <w:rsid w:val="00270ADC"/>
    <w:rsid w:val="00271F47"/>
    <w:rsid w:val="0027491B"/>
    <w:rsid w:val="00275964"/>
    <w:rsid w:val="002825EF"/>
    <w:rsid w:val="00282B64"/>
    <w:rsid w:val="00282EE1"/>
    <w:rsid w:val="00290573"/>
    <w:rsid w:val="00291A53"/>
    <w:rsid w:val="00293D15"/>
    <w:rsid w:val="002944C1"/>
    <w:rsid w:val="00297EBF"/>
    <w:rsid w:val="002A07DC"/>
    <w:rsid w:val="002A370E"/>
    <w:rsid w:val="002B5146"/>
    <w:rsid w:val="002B710D"/>
    <w:rsid w:val="002C27DD"/>
    <w:rsid w:val="002C3298"/>
    <w:rsid w:val="002C3D1D"/>
    <w:rsid w:val="002D273C"/>
    <w:rsid w:val="002E137D"/>
    <w:rsid w:val="002E2D99"/>
    <w:rsid w:val="002E5222"/>
    <w:rsid w:val="002E6EFA"/>
    <w:rsid w:val="002E79EA"/>
    <w:rsid w:val="002E7EB8"/>
    <w:rsid w:val="002F03E7"/>
    <w:rsid w:val="00310718"/>
    <w:rsid w:val="00316676"/>
    <w:rsid w:val="0032223F"/>
    <w:rsid w:val="0033379F"/>
    <w:rsid w:val="00334773"/>
    <w:rsid w:val="00334C3E"/>
    <w:rsid w:val="00336C4A"/>
    <w:rsid w:val="00337EC2"/>
    <w:rsid w:val="003450AF"/>
    <w:rsid w:val="00352408"/>
    <w:rsid w:val="00352C67"/>
    <w:rsid w:val="003533A2"/>
    <w:rsid w:val="003547B2"/>
    <w:rsid w:val="00354ED1"/>
    <w:rsid w:val="0035627F"/>
    <w:rsid w:val="00356E67"/>
    <w:rsid w:val="003570EF"/>
    <w:rsid w:val="003602B8"/>
    <w:rsid w:val="00361FD3"/>
    <w:rsid w:val="00366EA7"/>
    <w:rsid w:val="00370EF0"/>
    <w:rsid w:val="0037388D"/>
    <w:rsid w:val="00376F91"/>
    <w:rsid w:val="003819D5"/>
    <w:rsid w:val="0038542E"/>
    <w:rsid w:val="00385B9D"/>
    <w:rsid w:val="00385C38"/>
    <w:rsid w:val="00387498"/>
    <w:rsid w:val="003926AE"/>
    <w:rsid w:val="003935BC"/>
    <w:rsid w:val="00393AF9"/>
    <w:rsid w:val="003949A7"/>
    <w:rsid w:val="003A1965"/>
    <w:rsid w:val="003A5A5D"/>
    <w:rsid w:val="003A6A8C"/>
    <w:rsid w:val="003B575C"/>
    <w:rsid w:val="003C2369"/>
    <w:rsid w:val="003C470C"/>
    <w:rsid w:val="003C5AB5"/>
    <w:rsid w:val="003C7FB0"/>
    <w:rsid w:val="003D3C1D"/>
    <w:rsid w:val="003D79BA"/>
    <w:rsid w:val="003E0377"/>
    <w:rsid w:val="003E14E7"/>
    <w:rsid w:val="003E1FC0"/>
    <w:rsid w:val="003E2ECC"/>
    <w:rsid w:val="003E3F9C"/>
    <w:rsid w:val="003E43CA"/>
    <w:rsid w:val="003E5F7E"/>
    <w:rsid w:val="003E7AC2"/>
    <w:rsid w:val="003F12AF"/>
    <w:rsid w:val="003F12EB"/>
    <w:rsid w:val="003F3EDC"/>
    <w:rsid w:val="003F7D57"/>
    <w:rsid w:val="00404649"/>
    <w:rsid w:val="00405EE7"/>
    <w:rsid w:val="0040689B"/>
    <w:rsid w:val="00406963"/>
    <w:rsid w:val="0041667C"/>
    <w:rsid w:val="0041730F"/>
    <w:rsid w:val="00421A1E"/>
    <w:rsid w:val="00423074"/>
    <w:rsid w:val="004231CD"/>
    <w:rsid w:val="00430AB9"/>
    <w:rsid w:val="00434F79"/>
    <w:rsid w:val="0044328D"/>
    <w:rsid w:val="0044485A"/>
    <w:rsid w:val="00445FAF"/>
    <w:rsid w:val="00453F6B"/>
    <w:rsid w:val="00456419"/>
    <w:rsid w:val="004610CC"/>
    <w:rsid w:val="0046374A"/>
    <w:rsid w:val="0046387D"/>
    <w:rsid w:val="00464657"/>
    <w:rsid w:val="00464B69"/>
    <w:rsid w:val="00475DAD"/>
    <w:rsid w:val="004823E8"/>
    <w:rsid w:val="004831CE"/>
    <w:rsid w:val="00487029"/>
    <w:rsid w:val="004A0E56"/>
    <w:rsid w:val="004A356A"/>
    <w:rsid w:val="004A40D3"/>
    <w:rsid w:val="004A6325"/>
    <w:rsid w:val="004B504F"/>
    <w:rsid w:val="004C1B1C"/>
    <w:rsid w:val="004C22F1"/>
    <w:rsid w:val="004D1BCA"/>
    <w:rsid w:val="004D3C02"/>
    <w:rsid w:val="004D40A7"/>
    <w:rsid w:val="004D47BA"/>
    <w:rsid w:val="004D5EF4"/>
    <w:rsid w:val="004E1BF9"/>
    <w:rsid w:val="004E4EA0"/>
    <w:rsid w:val="004E7D8D"/>
    <w:rsid w:val="004F17F7"/>
    <w:rsid w:val="004F6BCB"/>
    <w:rsid w:val="004F793D"/>
    <w:rsid w:val="00501859"/>
    <w:rsid w:val="00507DFA"/>
    <w:rsid w:val="00511447"/>
    <w:rsid w:val="0052216B"/>
    <w:rsid w:val="00523D03"/>
    <w:rsid w:val="00525222"/>
    <w:rsid w:val="00527C53"/>
    <w:rsid w:val="0053270C"/>
    <w:rsid w:val="00532813"/>
    <w:rsid w:val="00533171"/>
    <w:rsid w:val="00536565"/>
    <w:rsid w:val="00536DA0"/>
    <w:rsid w:val="00543E2A"/>
    <w:rsid w:val="00544599"/>
    <w:rsid w:val="0054564B"/>
    <w:rsid w:val="005505EB"/>
    <w:rsid w:val="00556022"/>
    <w:rsid w:val="0056180E"/>
    <w:rsid w:val="00563775"/>
    <w:rsid w:val="005655B7"/>
    <w:rsid w:val="00565E73"/>
    <w:rsid w:val="005727A3"/>
    <w:rsid w:val="00573DA4"/>
    <w:rsid w:val="00574BD6"/>
    <w:rsid w:val="00575075"/>
    <w:rsid w:val="00575EEC"/>
    <w:rsid w:val="00580A6E"/>
    <w:rsid w:val="0058303C"/>
    <w:rsid w:val="00585175"/>
    <w:rsid w:val="00587271"/>
    <w:rsid w:val="005877D1"/>
    <w:rsid w:val="00590198"/>
    <w:rsid w:val="00590AEA"/>
    <w:rsid w:val="00591BD3"/>
    <w:rsid w:val="0059284A"/>
    <w:rsid w:val="00594950"/>
    <w:rsid w:val="005961B8"/>
    <w:rsid w:val="00597DE7"/>
    <w:rsid w:val="005A2216"/>
    <w:rsid w:val="005B2BAB"/>
    <w:rsid w:val="005B31AB"/>
    <w:rsid w:val="005B4910"/>
    <w:rsid w:val="005C12FB"/>
    <w:rsid w:val="005C2767"/>
    <w:rsid w:val="005D0A68"/>
    <w:rsid w:val="005D1084"/>
    <w:rsid w:val="005D1D0A"/>
    <w:rsid w:val="005D3291"/>
    <w:rsid w:val="005D57A1"/>
    <w:rsid w:val="005D5A53"/>
    <w:rsid w:val="005D75E7"/>
    <w:rsid w:val="005D7747"/>
    <w:rsid w:val="005E0CD3"/>
    <w:rsid w:val="005E11DA"/>
    <w:rsid w:val="005E34E5"/>
    <w:rsid w:val="005E3536"/>
    <w:rsid w:val="005F0EBB"/>
    <w:rsid w:val="005F2ECF"/>
    <w:rsid w:val="005F5BE9"/>
    <w:rsid w:val="00605E53"/>
    <w:rsid w:val="00616865"/>
    <w:rsid w:val="006211D8"/>
    <w:rsid w:val="00627BDF"/>
    <w:rsid w:val="00632494"/>
    <w:rsid w:val="006361FA"/>
    <w:rsid w:val="00655837"/>
    <w:rsid w:val="00655B48"/>
    <w:rsid w:val="006569C4"/>
    <w:rsid w:val="00656D31"/>
    <w:rsid w:val="00664999"/>
    <w:rsid w:val="0066697F"/>
    <w:rsid w:val="00667BEB"/>
    <w:rsid w:val="00670FF5"/>
    <w:rsid w:val="006716B5"/>
    <w:rsid w:val="00671F20"/>
    <w:rsid w:val="00671FB9"/>
    <w:rsid w:val="006757D0"/>
    <w:rsid w:val="00680F27"/>
    <w:rsid w:val="00682028"/>
    <w:rsid w:val="00690C43"/>
    <w:rsid w:val="00691256"/>
    <w:rsid w:val="0069296C"/>
    <w:rsid w:val="00696058"/>
    <w:rsid w:val="00696ECA"/>
    <w:rsid w:val="006A11F1"/>
    <w:rsid w:val="006B443E"/>
    <w:rsid w:val="006C05EF"/>
    <w:rsid w:val="006C09ED"/>
    <w:rsid w:val="006C2552"/>
    <w:rsid w:val="006E0322"/>
    <w:rsid w:val="006E3C49"/>
    <w:rsid w:val="006E4C99"/>
    <w:rsid w:val="006E5CB9"/>
    <w:rsid w:val="006F2E9C"/>
    <w:rsid w:val="00701449"/>
    <w:rsid w:val="00701B34"/>
    <w:rsid w:val="00703D7E"/>
    <w:rsid w:val="00704FEA"/>
    <w:rsid w:val="00707070"/>
    <w:rsid w:val="00707298"/>
    <w:rsid w:val="00712326"/>
    <w:rsid w:val="007135D2"/>
    <w:rsid w:val="007141FD"/>
    <w:rsid w:val="00715C1C"/>
    <w:rsid w:val="007160CD"/>
    <w:rsid w:val="007311C9"/>
    <w:rsid w:val="0073274E"/>
    <w:rsid w:val="0073338E"/>
    <w:rsid w:val="0073741F"/>
    <w:rsid w:val="00737FD0"/>
    <w:rsid w:val="007424C9"/>
    <w:rsid w:val="00742E4B"/>
    <w:rsid w:val="0075083F"/>
    <w:rsid w:val="007529A5"/>
    <w:rsid w:val="00753AD1"/>
    <w:rsid w:val="00757CD1"/>
    <w:rsid w:val="00764D66"/>
    <w:rsid w:val="007679FF"/>
    <w:rsid w:val="007709C2"/>
    <w:rsid w:val="007709CC"/>
    <w:rsid w:val="007774C2"/>
    <w:rsid w:val="0078106A"/>
    <w:rsid w:val="00782DA8"/>
    <w:rsid w:val="007845D2"/>
    <w:rsid w:val="0078614D"/>
    <w:rsid w:val="00790464"/>
    <w:rsid w:val="00794C0C"/>
    <w:rsid w:val="007A1470"/>
    <w:rsid w:val="007A22B8"/>
    <w:rsid w:val="007B79B4"/>
    <w:rsid w:val="007C43A9"/>
    <w:rsid w:val="007C501B"/>
    <w:rsid w:val="007C685D"/>
    <w:rsid w:val="007D0234"/>
    <w:rsid w:val="007D1B43"/>
    <w:rsid w:val="007D4B27"/>
    <w:rsid w:val="007D68EA"/>
    <w:rsid w:val="007E0EBB"/>
    <w:rsid w:val="007E28EC"/>
    <w:rsid w:val="007E7C0A"/>
    <w:rsid w:val="007F0A9C"/>
    <w:rsid w:val="007F2BBB"/>
    <w:rsid w:val="0080145A"/>
    <w:rsid w:val="00802F70"/>
    <w:rsid w:val="0080431D"/>
    <w:rsid w:val="00805F10"/>
    <w:rsid w:val="00807213"/>
    <w:rsid w:val="008142A1"/>
    <w:rsid w:val="00814460"/>
    <w:rsid w:val="00817115"/>
    <w:rsid w:val="00824F4A"/>
    <w:rsid w:val="00831E25"/>
    <w:rsid w:val="00843B4E"/>
    <w:rsid w:val="008535FF"/>
    <w:rsid w:val="00853B65"/>
    <w:rsid w:val="00853C8A"/>
    <w:rsid w:val="00854B3B"/>
    <w:rsid w:val="00856554"/>
    <w:rsid w:val="008637D6"/>
    <w:rsid w:val="00865613"/>
    <w:rsid w:val="008673CB"/>
    <w:rsid w:val="00882183"/>
    <w:rsid w:val="00885540"/>
    <w:rsid w:val="00885973"/>
    <w:rsid w:val="00896F0A"/>
    <w:rsid w:val="008A06F4"/>
    <w:rsid w:val="008A4994"/>
    <w:rsid w:val="008A6BF5"/>
    <w:rsid w:val="008A734B"/>
    <w:rsid w:val="008B4996"/>
    <w:rsid w:val="008C1E1D"/>
    <w:rsid w:val="008C3F0D"/>
    <w:rsid w:val="008D18B3"/>
    <w:rsid w:val="008D4388"/>
    <w:rsid w:val="008D4FDC"/>
    <w:rsid w:val="008D6253"/>
    <w:rsid w:val="008E0366"/>
    <w:rsid w:val="008E11DA"/>
    <w:rsid w:val="008E17FB"/>
    <w:rsid w:val="008E1F0E"/>
    <w:rsid w:val="008E377B"/>
    <w:rsid w:val="008E6A49"/>
    <w:rsid w:val="008F104B"/>
    <w:rsid w:val="008F21D7"/>
    <w:rsid w:val="008F2D0A"/>
    <w:rsid w:val="008F4FA0"/>
    <w:rsid w:val="008F67EF"/>
    <w:rsid w:val="0090617A"/>
    <w:rsid w:val="00913A9F"/>
    <w:rsid w:val="00914D89"/>
    <w:rsid w:val="00934736"/>
    <w:rsid w:val="009412CE"/>
    <w:rsid w:val="00941A40"/>
    <w:rsid w:val="00943AEC"/>
    <w:rsid w:val="00947141"/>
    <w:rsid w:val="00950478"/>
    <w:rsid w:val="00951017"/>
    <w:rsid w:val="00954E8D"/>
    <w:rsid w:val="009569DF"/>
    <w:rsid w:val="00957E38"/>
    <w:rsid w:val="0096252A"/>
    <w:rsid w:val="00963BB8"/>
    <w:rsid w:val="009667BE"/>
    <w:rsid w:val="00966B26"/>
    <w:rsid w:val="00971983"/>
    <w:rsid w:val="00972462"/>
    <w:rsid w:val="00975ADB"/>
    <w:rsid w:val="00986C27"/>
    <w:rsid w:val="009872EA"/>
    <w:rsid w:val="00991F40"/>
    <w:rsid w:val="00992FF1"/>
    <w:rsid w:val="009A28C5"/>
    <w:rsid w:val="009A3A46"/>
    <w:rsid w:val="009A74B6"/>
    <w:rsid w:val="009C0578"/>
    <w:rsid w:val="009C19EF"/>
    <w:rsid w:val="009C3AD3"/>
    <w:rsid w:val="009C63C3"/>
    <w:rsid w:val="009D1642"/>
    <w:rsid w:val="009D3966"/>
    <w:rsid w:val="009D5C64"/>
    <w:rsid w:val="009D651A"/>
    <w:rsid w:val="009D7B6E"/>
    <w:rsid w:val="009E1227"/>
    <w:rsid w:val="009E2C64"/>
    <w:rsid w:val="009E363C"/>
    <w:rsid w:val="009E436F"/>
    <w:rsid w:val="009F0E33"/>
    <w:rsid w:val="009F390F"/>
    <w:rsid w:val="009F3B37"/>
    <w:rsid w:val="00A0224E"/>
    <w:rsid w:val="00A038FB"/>
    <w:rsid w:val="00A05939"/>
    <w:rsid w:val="00A06EE3"/>
    <w:rsid w:val="00A11512"/>
    <w:rsid w:val="00A16D5D"/>
    <w:rsid w:val="00A21F8F"/>
    <w:rsid w:val="00A21FD7"/>
    <w:rsid w:val="00A250FD"/>
    <w:rsid w:val="00A26B28"/>
    <w:rsid w:val="00A26F23"/>
    <w:rsid w:val="00A31830"/>
    <w:rsid w:val="00A32BD9"/>
    <w:rsid w:val="00A403EA"/>
    <w:rsid w:val="00A44F33"/>
    <w:rsid w:val="00A47153"/>
    <w:rsid w:val="00A508A0"/>
    <w:rsid w:val="00A53956"/>
    <w:rsid w:val="00A53D44"/>
    <w:rsid w:val="00A53F47"/>
    <w:rsid w:val="00A60853"/>
    <w:rsid w:val="00A61484"/>
    <w:rsid w:val="00A672C1"/>
    <w:rsid w:val="00A703B5"/>
    <w:rsid w:val="00A711A4"/>
    <w:rsid w:val="00A7541E"/>
    <w:rsid w:val="00A803FD"/>
    <w:rsid w:val="00A85A44"/>
    <w:rsid w:val="00A85E7F"/>
    <w:rsid w:val="00A95477"/>
    <w:rsid w:val="00A97AA4"/>
    <w:rsid w:val="00AA6279"/>
    <w:rsid w:val="00AB0A1A"/>
    <w:rsid w:val="00AB1E86"/>
    <w:rsid w:val="00AB2C2E"/>
    <w:rsid w:val="00AC1A2D"/>
    <w:rsid w:val="00AC31E3"/>
    <w:rsid w:val="00AC58D3"/>
    <w:rsid w:val="00AD0208"/>
    <w:rsid w:val="00AE33E6"/>
    <w:rsid w:val="00AE67DB"/>
    <w:rsid w:val="00AE71E2"/>
    <w:rsid w:val="00AE7728"/>
    <w:rsid w:val="00B026FF"/>
    <w:rsid w:val="00B03F96"/>
    <w:rsid w:val="00B05F7D"/>
    <w:rsid w:val="00B065DA"/>
    <w:rsid w:val="00B06AC8"/>
    <w:rsid w:val="00B13999"/>
    <w:rsid w:val="00B2050A"/>
    <w:rsid w:val="00B21A1C"/>
    <w:rsid w:val="00B22A00"/>
    <w:rsid w:val="00B3529D"/>
    <w:rsid w:val="00B36708"/>
    <w:rsid w:val="00B43FD8"/>
    <w:rsid w:val="00B44C0A"/>
    <w:rsid w:val="00B44C23"/>
    <w:rsid w:val="00B468EC"/>
    <w:rsid w:val="00B47390"/>
    <w:rsid w:val="00B474BE"/>
    <w:rsid w:val="00B50C4D"/>
    <w:rsid w:val="00B56C39"/>
    <w:rsid w:val="00B57EB0"/>
    <w:rsid w:val="00B6166F"/>
    <w:rsid w:val="00B6408F"/>
    <w:rsid w:val="00B6472F"/>
    <w:rsid w:val="00B66518"/>
    <w:rsid w:val="00B67CF7"/>
    <w:rsid w:val="00B71C5B"/>
    <w:rsid w:val="00B72B14"/>
    <w:rsid w:val="00B732CC"/>
    <w:rsid w:val="00B74F37"/>
    <w:rsid w:val="00B7704F"/>
    <w:rsid w:val="00B80787"/>
    <w:rsid w:val="00B80B68"/>
    <w:rsid w:val="00B8107C"/>
    <w:rsid w:val="00B87807"/>
    <w:rsid w:val="00B95816"/>
    <w:rsid w:val="00B97DE0"/>
    <w:rsid w:val="00BA2889"/>
    <w:rsid w:val="00BA4EA3"/>
    <w:rsid w:val="00BA59F7"/>
    <w:rsid w:val="00BA7F80"/>
    <w:rsid w:val="00BB3B71"/>
    <w:rsid w:val="00BC0D2D"/>
    <w:rsid w:val="00BC1107"/>
    <w:rsid w:val="00BC18BB"/>
    <w:rsid w:val="00BC45A9"/>
    <w:rsid w:val="00BC468F"/>
    <w:rsid w:val="00BC4DC7"/>
    <w:rsid w:val="00BD08EC"/>
    <w:rsid w:val="00BD24D5"/>
    <w:rsid w:val="00BD2EE9"/>
    <w:rsid w:val="00BD4530"/>
    <w:rsid w:val="00BD4B98"/>
    <w:rsid w:val="00BD5B61"/>
    <w:rsid w:val="00BD7752"/>
    <w:rsid w:val="00BE25B7"/>
    <w:rsid w:val="00BE420B"/>
    <w:rsid w:val="00BE59F6"/>
    <w:rsid w:val="00BE5EB8"/>
    <w:rsid w:val="00BE659C"/>
    <w:rsid w:val="00BF387D"/>
    <w:rsid w:val="00BF3A4E"/>
    <w:rsid w:val="00BF4C21"/>
    <w:rsid w:val="00BF6982"/>
    <w:rsid w:val="00BF7ECF"/>
    <w:rsid w:val="00C00F9D"/>
    <w:rsid w:val="00C039F3"/>
    <w:rsid w:val="00C05A2F"/>
    <w:rsid w:val="00C07E7A"/>
    <w:rsid w:val="00C12697"/>
    <w:rsid w:val="00C21E92"/>
    <w:rsid w:val="00C2681C"/>
    <w:rsid w:val="00C305F5"/>
    <w:rsid w:val="00C311BE"/>
    <w:rsid w:val="00C35E1D"/>
    <w:rsid w:val="00C37AB1"/>
    <w:rsid w:val="00C40303"/>
    <w:rsid w:val="00C4359F"/>
    <w:rsid w:val="00C528A7"/>
    <w:rsid w:val="00C555B7"/>
    <w:rsid w:val="00C5658E"/>
    <w:rsid w:val="00C60911"/>
    <w:rsid w:val="00C619E3"/>
    <w:rsid w:val="00C6467F"/>
    <w:rsid w:val="00C72A94"/>
    <w:rsid w:val="00C761AD"/>
    <w:rsid w:val="00C7646D"/>
    <w:rsid w:val="00C77416"/>
    <w:rsid w:val="00C77A9B"/>
    <w:rsid w:val="00C839EE"/>
    <w:rsid w:val="00C91056"/>
    <w:rsid w:val="00CA52B1"/>
    <w:rsid w:val="00CB2011"/>
    <w:rsid w:val="00CB2462"/>
    <w:rsid w:val="00CB7BD1"/>
    <w:rsid w:val="00CC28FD"/>
    <w:rsid w:val="00CC32E5"/>
    <w:rsid w:val="00CD2B90"/>
    <w:rsid w:val="00CD344A"/>
    <w:rsid w:val="00CD53CA"/>
    <w:rsid w:val="00CD6C79"/>
    <w:rsid w:val="00CD6D60"/>
    <w:rsid w:val="00CE0629"/>
    <w:rsid w:val="00CE1F38"/>
    <w:rsid w:val="00CE45FD"/>
    <w:rsid w:val="00CE5F49"/>
    <w:rsid w:val="00CE6D92"/>
    <w:rsid w:val="00CF2FC1"/>
    <w:rsid w:val="00CF50A6"/>
    <w:rsid w:val="00CF7998"/>
    <w:rsid w:val="00D05F46"/>
    <w:rsid w:val="00D1784B"/>
    <w:rsid w:val="00D21F97"/>
    <w:rsid w:val="00D22C34"/>
    <w:rsid w:val="00D27090"/>
    <w:rsid w:val="00D31909"/>
    <w:rsid w:val="00D34D2B"/>
    <w:rsid w:val="00D41EEC"/>
    <w:rsid w:val="00D425AD"/>
    <w:rsid w:val="00D4294E"/>
    <w:rsid w:val="00D432B0"/>
    <w:rsid w:val="00D453C7"/>
    <w:rsid w:val="00D601E0"/>
    <w:rsid w:val="00D64940"/>
    <w:rsid w:val="00D66A22"/>
    <w:rsid w:val="00D73B1F"/>
    <w:rsid w:val="00D758AC"/>
    <w:rsid w:val="00D764C9"/>
    <w:rsid w:val="00D8135C"/>
    <w:rsid w:val="00D83FE5"/>
    <w:rsid w:val="00D92D54"/>
    <w:rsid w:val="00D9357F"/>
    <w:rsid w:val="00D94FF9"/>
    <w:rsid w:val="00D951F6"/>
    <w:rsid w:val="00DA3465"/>
    <w:rsid w:val="00DA4C5D"/>
    <w:rsid w:val="00DC15A5"/>
    <w:rsid w:val="00DC20E4"/>
    <w:rsid w:val="00DC588F"/>
    <w:rsid w:val="00DD3077"/>
    <w:rsid w:val="00DD3701"/>
    <w:rsid w:val="00DD3D55"/>
    <w:rsid w:val="00DD4737"/>
    <w:rsid w:val="00DD4B15"/>
    <w:rsid w:val="00DE1CDE"/>
    <w:rsid w:val="00DE2F43"/>
    <w:rsid w:val="00DE3226"/>
    <w:rsid w:val="00DE6A93"/>
    <w:rsid w:val="00DE7A0A"/>
    <w:rsid w:val="00DF0BE1"/>
    <w:rsid w:val="00DF501B"/>
    <w:rsid w:val="00DF53F5"/>
    <w:rsid w:val="00DF54D6"/>
    <w:rsid w:val="00E034FE"/>
    <w:rsid w:val="00E042C6"/>
    <w:rsid w:val="00E05DA2"/>
    <w:rsid w:val="00E06FFA"/>
    <w:rsid w:val="00E172A4"/>
    <w:rsid w:val="00E335A5"/>
    <w:rsid w:val="00E36987"/>
    <w:rsid w:val="00E43222"/>
    <w:rsid w:val="00E4423E"/>
    <w:rsid w:val="00E508BF"/>
    <w:rsid w:val="00E55C17"/>
    <w:rsid w:val="00E578F2"/>
    <w:rsid w:val="00E61B91"/>
    <w:rsid w:val="00E67D80"/>
    <w:rsid w:val="00E7046B"/>
    <w:rsid w:val="00E77259"/>
    <w:rsid w:val="00E91F00"/>
    <w:rsid w:val="00E960A2"/>
    <w:rsid w:val="00E9784E"/>
    <w:rsid w:val="00E97E0E"/>
    <w:rsid w:val="00EA048A"/>
    <w:rsid w:val="00EA055A"/>
    <w:rsid w:val="00EA2607"/>
    <w:rsid w:val="00EA2E74"/>
    <w:rsid w:val="00EB2717"/>
    <w:rsid w:val="00EC31F5"/>
    <w:rsid w:val="00EC72EC"/>
    <w:rsid w:val="00EE004C"/>
    <w:rsid w:val="00EE0E5A"/>
    <w:rsid w:val="00EE23EA"/>
    <w:rsid w:val="00EE3C57"/>
    <w:rsid w:val="00EE6BFA"/>
    <w:rsid w:val="00EE764F"/>
    <w:rsid w:val="00EF007D"/>
    <w:rsid w:val="00EF0251"/>
    <w:rsid w:val="00EF28E1"/>
    <w:rsid w:val="00EF3F0A"/>
    <w:rsid w:val="00F0342A"/>
    <w:rsid w:val="00F03DFB"/>
    <w:rsid w:val="00F0672C"/>
    <w:rsid w:val="00F102DD"/>
    <w:rsid w:val="00F10312"/>
    <w:rsid w:val="00F112CA"/>
    <w:rsid w:val="00F125B9"/>
    <w:rsid w:val="00F17F21"/>
    <w:rsid w:val="00F220D8"/>
    <w:rsid w:val="00F23701"/>
    <w:rsid w:val="00F237ED"/>
    <w:rsid w:val="00F27BEE"/>
    <w:rsid w:val="00F30BA9"/>
    <w:rsid w:val="00F339AE"/>
    <w:rsid w:val="00F36A0A"/>
    <w:rsid w:val="00F36C38"/>
    <w:rsid w:val="00F37608"/>
    <w:rsid w:val="00F42EA5"/>
    <w:rsid w:val="00F437A1"/>
    <w:rsid w:val="00F44C7F"/>
    <w:rsid w:val="00F51B5F"/>
    <w:rsid w:val="00F51C07"/>
    <w:rsid w:val="00F532D5"/>
    <w:rsid w:val="00F62BE9"/>
    <w:rsid w:val="00F62C09"/>
    <w:rsid w:val="00F72240"/>
    <w:rsid w:val="00F72292"/>
    <w:rsid w:val="00F746B6"/>
    <w:rsid w:val="00F955BB"/>
    <w:rsid w:val="00F95875"/>
    <w:rsid w:val="00F95FC3"/>
    <w:rsid w:val="00F96AAD"/>
    <w:rsid w:val="00F979EA"/>
    <w:rsid w:val="00FA2D53"/>
    <w:rsid w:val="00FA63F9"/>
    <w:rsid w:val="00FB48B1"/>
    <w:rsid w:val="00FC4A07"/>
    <w:rsid w:val="00FD100B"/>
    <w:rsid w:val="00FD3CDF"/>
    <w:rsid w:val="00FD3DCE"/>
    <w:rsid w:val="00FD524D"/>
    <w:rsid w:val="00FD66DF"/>
    <w:rsid w:val="00FE368B"/>
    <w:rsid w:val="00FE5ACA"/>
    <w:rsid w:val="00FF14C9"/>
    <w:rsid w:val="00FF1959"/>
    <w:rsid w:val="00FF2611"/>
    <w:rsid w:val="00FF3F6A"/>
    <w:rsid w:val="00FF6727"/>
    <w:rsid w:val="00FF7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C2650"/>
  <w15:docId w15:val="{15B9BD90-F3DA-4CE4-9A40-D5A6F01A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36E7C"/>
    <w:pPr>
      <w:keepNext/>
      <w:keepLines/>
      <w:spacing w:after="0" w:line="240" w:lineRule="auto"/>
      <w:contextualSpacing/>
      <w:outlineLvl w:val="0"/>
    </w:pPr>
    <w:rPr>
      <w:rFonts w:ascii="Century Gothic" w:eastAsiaTheme="majorEastAsia" w:hAnsi="Century Gothic" w:cstheme="majorBidi"/>
      <w:b/>
      <w:bCs/>
      <w:caps/>
      <w:color w:val="7030A0"/>
      <w:sz w:val="28"/>
      <w:szCs w:val="28"/>
    </w:rPr>
  </w:style>
  <w:style w:type="paragraph" w:styleId="Heading2">
    <w:name w:val="heading 2"/>
    <w:basedOn w:val="Normal"/>
    <w:next w:val="Normal"/>
    <w:link w:val="Heading2Char"/>
    <w:uiPriority w:val="9"/>
    <w:unhideWhenUsed/>
    <w:qFormat/>
    <w:rsid w:val="008B49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5D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CAC"/>
    <w:rPr>
      <w:rFonts w:ascii="Tahoma" w:hAnsi="Tahoma" w:cs="Tahoma"/>
      <w:sz w:val="16"/>
      <w:szCs w:val="16"/>
    </w:rPr>
  </w:style>
  <w:style w:type="character" w:styleId="Hyperlink">
    <w:name w:val="Hyperlink"/>
    <w:basedOn w:val="DefaultParagraphFont"/>
    <w:uiPriority w:val="99"/>
    <w:unhideWhenUsed/>
    <w:rsid w:val="00BA2889"/>
    <w:rPr>
      <w:color w:val="0000FF" w:themeColor="hyperlink"/>
      <w:u w:val="single"/>
    </w:rPr>
  </w:style>
  <w:style w:type="character" w:customStyle="1" w:styleId="Heading1Char">
    <w:name w:val="Heading 1 Char"/>
    <w:basedOn w:val="DefaultParagraphFont"/>
    <w:link w:val="Heading1"/>
    <w:uiPriority w:val="9"/>
    <w:rsid w:val="00036E7C"/>
    <w:rPr>
      <w:rFonts w:ascii="Century Gothic" w:eastAsiaTheme="majorEastAsia" w:hAnsi="Century Gothic" w:cstheme="majorBidi"/>
      <w:b/>
      <w:bCs/>
      <w:caps/>
      <w:color w:val="7030A0"/>
      <w:sz w:val="28"/>
      <w:szCs w:val="28"/>
    </w:rPr>
  </w:style>
  <w:style w:type="paragraph" w:styleId="NoSpacing">
    <w:name w:val="No Spacing"/>
    <w:link w:val="NoSpacingChar"/>
    <w:uiPriority w:val="1"/>
    <w:qFormat/>
    <w:rsid w:val="00BA2889"/>
    <w:pPr>
      <w:spacing w:after="0" w:line="240" w:lineRule="auto"/>
    </w:pPr>
    <w:rPr>
      <w:rFonts w:ascii="Tahoma" w:hAnsi="Tahoma"/>
      <w:sz w:val="20"/>
      <w:szCs w:val="20"/>
    </w:rPr>
  </w:style>
  <w:style w:type="paragraph" w:styleId="ListParagraph">
    <w:name w:val="List Paragraph"/>
    <w:aliases w:val="Reference List,Opsomming,Opsomblokjes en substreepjes,-_BOMW"/>
    <w:basedOn w:val="Normal"/>
    <w:link w:val="ListParagraphChar"/>
    <w:uiPriority w:val="99"/>
    <w:qFormat/>
    <w:rsid w:val="00BA2889"/>
    <w:pPr>
      <w:spacing w:after="0" w:line="240" w:lineRule="auto"/>
      <w:ind w:left="720"/>
      <w:contextualSpacing/>
    </w:pPr>
    <w:rPr>
      <w:rFonts w:ascii="Century Gothic" w:eastAsia="Times New Roman" w:hAnsi="Century Gothic" w:cs="Times New Roman"/>
      <w:sz w:val="20"/>
      <w:szCs w:val="24"/>
      <w:lang w:eastAsia="nl-NL"/>
    </w:rPr>
  </w:style>
  <w:style w:type="character" w:customStyle="1" w:styleId="NoSpacingChar">
    <w:name w:val="No Spacing Char"/>
    <w:link w:val="NoSpacing"/>
    <w:uiPriority w:val="1"/>
    <w:rsid w:val="00BA2889"/>
    <w:rPr>
      <w:rFonts w:ascii="Tahoma" w:hAnsi="Tahoma"/>
      <w:sz w:val="20"/>
      <w:szCs w:val="20"/>
    </w:rPr>
  </w:style>
  <w:style w:type="character" w:customStyle="1" w:styleId="ListParagraphChar">
    <w:name w:val="List Paragraph Char"/>
    <w:aliases w:val="Reference List Char,Opsomming Char,Opsomblokjes en substreepjes Char,-_BOMW Char"/>
    <w:link w:val="ListParagraph"/>
    <w:uiPriority w:val="99"/>
    <w:rsid w:val="00BA2889"/>
    <w:rPr>
      <w:rFonts w:ascii="Century Gothic" w:eastAsia="Times New Roman" w:hAnsi="Century Gothic" w:cs="Times New Roman"/>
      <w:sz w:val="20"/>
      <w:szCs w:val="24"/>
      <w:lang w:eastAsia="nl-NL"/>
    </w:rPr>
  </w:style>
  <w:style w:type="table" w:styleId="TableGrid">
    <w:name w:val="Table Grid"/>
    <w:basedOn w:val="TableNormal"/>
    <w:uiPriority w:val="59"/>
    <w:rsid w:val="0098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B49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35D21"/>
    <w:rPr>
      <w:rFonts w:asciiTheme="majorHAnsi" w:eastAsiaTheme="majorEastAsia" w:hAnsiTheme="majorHAnsi" w:cstheme="majorBidi"/>
      <w:b/>
      <w:bCs/>
      <w:color w:val="4F81BD" w:themeColor="accent1"/>
    </w:rPr>
  </w:style>
  <w:style w:type="paragraph" w:styleId="BodyText">
    <w:name w:val="Body Text"/>
    <w:basedOn w:val="Normal"/>
    <w:link w:val="BodyTextChar"/>
    <w:semiHidden/>
    <w:rsid w:val="003949A7"/>
    <w:pPr>
      <w:spacing w:after="0" w:line="240" w:lineRule="auto"/>
    </w:pPr>
    <w:rPr>
      <w:rFonts w:ascii="Arial" w:eastAsia="Times New Roman" w:hAnsi="Arial" w:cs="Arial"/>
      <w:sz w:val="20"/>
      <w:szCs w:val="24"/>
      <w:lang w:eastAsia="nl-NL"/>
    </w:rPr>
  </w:style>
  <w:style w:type="character" w:customStyle="1" w:styleId="BodyTextChar">
    <w:name w:val="Body Text Char"/>
    <w:basedOn w:val="DefaultParagraphFont"/>
    <w:link w:val="BodyText"/>
    <w:semiHidden/>
    <w:rsid w:val="003949A7"/>
    <w:rPr>
      <w:rFonts w:ascii="Arial" w:eastAsia="Times New Roman" w:hAnsi="Arial" w:cs="Arial"/>
      <w:sz w:val="20"/>
      <w:szCs w:val="24"/>
      <w:lang w:eastAsia="nl-NL"/>
    </w:rPr>
  </w:style>
  <w:style w:type="paragraph" w:customStyle="1" w:styleId="Default">
    <w:name w:val="Default"/>
    <w:rsid w:val="008E11D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2E5222"/>
    <w:rPr>
      <w:sz w:val="16"/>
      <w:szCs w:val="16"/>
    </w:rPr>
  </w:style>
  <w:style w:type="paragraph" w:styleId="CommentText">
    <w:name w:val="annotation text"/>
    <w:basedOn w:val="Normal"/>
    <w:link w:val="CommentTextChar"/>
    <w:unhideWhenUsed/>
    <w:rsid w:val="002E5222"/>
    <w:pPr>
      <w:spacing w:line="240" w:lineRule="auto"/>
    </w:pPr>
    <w:rPr>
      <w:sz w:val="20"/>
      <w:szCs w:val="20"/>
    </w:rPr>
  </w:style>
  <w:style w:type="character" w:customStyle="1" w:styleId="CommentTextChar">
    <w:name w:val="Comment Text Char"/>
    <w:basedOn w:val="DefaultParagraphFont"/>
    <w:link w:val="CommentText"/>
    <w:rsid w:val="002E5222"/>
    <w:rPr>
      <w:sz w:val="20"/>
      <w:szCs w:val="20"/>
    </w:rPr>
  </w:style>
  <w:style w:type="paragraph" w:styleId="CommentSubject">
    <w:name w:val="annotation subject"/>
    <w:basedOn w:val="CommentText"/>
    <w:next w:val="CommentText"/>
    <w:link w:val="CommentSubjectChar"/>
    <w:uiPriority w:val="99"/>
    <w:semiHidden/>
    <w:unhideWhenUsed/>
    <w:rsid w:val="002E5222"/>
    <w:rPr>
      <w:b/>
      <w:bCs/>
    </w:rPr>
  </w:style>
  <w:style w:type="character" w:customStyle="1" w:styleId="CommentSubjectChar">
    <w:name w:val="Comment Subject Char"/>
    <w:basedOn w:val="CommentTextChar"/>
    <w:link w:val="CommentSubject"/>
    <w:uiPriority w:val="99"/>
    <w:semiHidden/>
    <w:rsid w:val="002E5222"/>
    <w:rPr>
      <w:b/>
      <w:bCs/>
      <w:sz w:val="20"/>
      <w:szCs w:val="20"/>
    </w:rPr>
  </w:style>
  <w:style w:type="character" w:customStyle="1" w:styleId="Onopgelostemelding1">
    <w:name w:val="Onopgeloste melding1"/>
    <w:basedOn w:val="DefaultParagraphFont"/>
    <w:uiPriority w:val="99"/>
    <w:unhideWhenUsed/>
    <w:rsid w:val="00AE67DB"/>
    <w:rPr>
      <w:color w:val="605E5C"/>
      <w:shd w:val="clear" w:color="auto" w:fill="E1DFDD"/>
    </w:rPr>
  </w:style>
  <w:style w:type="character" w:customStyle="1" w:styleId="Vermelding1">
    <w:name w:val="Vermelding1"/>
    <w:basedOn w:val="DefaultParagraphFont"/>
    <w:uiPriority w:val="99"/>
    <w:unhideWhenUsed/>
    <w:rsid w:val="00AE67DB"/>
    <w:rPr>
      <w:color w:val="2B579A"/>
      <w:shd w:val="clear" w:color="auto" w:fill="E1DFDD"/>
    </w:rPr>
  </w:style>
  <w:style w:type="table" w:customStyle="1" w:styleId="Lijsttabel3-Accent11">
    <w:name w:val="Lijsttabel 3 - Accent 11"/>
    <w:basedOn w:val="TableNormal"/>
    <w:uiPriority w:val="48"/>
    <w:rsid w:val="00EA055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Eisen">
    <w:name w:val="Eisen"/>
    <w:basedOn w:val="Normal"/>
    <w:rsid w:val="00565E73"/>
    <w:pPr>
      <w:numPr>
        <w:numId w:val="4"/>
      </w:numPr>
      <w:suppressAutoHyphens/>
      <w:autoSpaceDN w:val="0"/>
      <w:spacing w:before="120" w:after="120"/>
      <w:textAlignment w:val="baseline"/>
    </w:pPr>
    <w:rPr>
      <w:rFonts w:ascii="Calibri" w:eastAsia="Times New Roman" w:hAnsi="Calibri" w:cs="Times New Roman"/>
      <w:sz w:val="20"/>
      <w:szCs w:val="20"/>
      <w:lang w:eastAsia="nl-NL"/>
    </w:rPr>
  </w:style>
  <w:style w:type="numbering" w:customStyle="1" w:styleId="LFO6">
    <w:name w:val="LFO6"/>
    <w:basedOn w:val="NoList"/>
    <w:rsid w:val="00565E73"/>
    <w:pPr>
      <w:numPr>
        <w:numId w:val="4"/>
      </w:numPr>
    </w:pPr>
  </w:style>
  <w:style w:type="table" w:customStyle="1" w:styleId="GridTable4-Accent11">
    <w:name w:val="Grid Table 4 - Accent 11"/>
    <w:basedOn w:val="TableNormal"/>
    <w:uiPriority w:val="49"/>
    <w:rsid w:val="00671F2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69125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2129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2982"/>
  </w:style>
  <w:style w:type="paragraph" w:styleId="Footer">
    <w:name w:val="footer"/>
    <w:basedOn w:val="Normal"/>
    <w:link w:val="FooterChar"/>
    <w:uiPriority w:val="99"/>
    <w:unhideWhenUsed/>
    <w:rsid w:val="002129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2982"/>
  </w:style>
  <w:style w:type="character" w:styleId="FollowedHyperlink">
    <w:name w:val="FollowedHyperlink"/>
    <w:basedOn w:val="DefaultParagraphFont"/>
    <w:uiPriority w:val="99"/>
    <w:semiHidden/>
    <w:unhideWhenUsed/>
    <w:rsid w:val="007311C9"/>
    <w:rPr>
      <w:color w:val="800080" w:themeColor="followedHyperlink"/>
      <w:u w:val="single"/>
    </w:rPr>
  </w:style>
  <w:style w:type="paragraph" w:styleId="TOCHeading">
    <w:name w:val="TOC Heading"/>
    <w:basedOn w:val="Heading1"/>
    <w:next w:val="Normal"/>
    <w:uiPriority w:val="39"/>
    <w:unhideWhenUsed/>
    <w:qFormat/>
    <w:rsid w:val="004F6BCB"/>
    <w:pPr>
      <w:spacing w:before="240" w:line="259" w:lineRule="auto"/>
      <w:contextualSpacing w:val="0"/>
      <w:outlineLvl w:val="9"/>
    </w:pPr>
    <w:rPr>
      <w:rFonts w:asciiTheme="majorHAnsi" w:hAnsiTheme="majorHAnsi"/>
      <w:b w:val="0"/>
      <w:bCs w:val="0"/>
      <w:caps w:val="0"/>
      <w:color w:val="365F91" w:themeColor="accent1" w:themeShade="BF"/>
      <w:sz w:val="32"/>
      <w:szCs w:val="32"/>
      <w:lang w:eastAsia="nl-NL"/>
    </w:rPr>
  </w:style>
  <w:style w:type="paragraph" w:styleId="TOC1">
    <w:name w:val="toc 1"/>
    <w:basedOn w:val="Normal"/>
    <w:next w:val="Normal"/>
    <w:autoRedefine/>
    <w:uiPriority w:val="39"/>
    <w:unhideWhenUsed/>
    <w:rsid w:val="004F6BCB"/>
    <w:pPr>
      <w:spacing w:after="100"/>
    </w:pPr>
  </w:style>
  <w:style w:type="paragraph" w:styleId="TOC2">
    <w:name w:val="toc 2"/>
    <w:basedOn w:val="Normal"/>
    <w:next w:val="Normal"/>
    <w:autoRedefine/>
    <w:uiPriority w:val="39"/>
    <w:unhideWhenUsed/>
    <w:rsid w:val="004F6BCB"/>
    <w:pPr>
      <w:spacing w:after="100"/>
      <w:ind w:left="220"/>
    </w:pPr>
  </w:style>
  <w:style w:type="paragraph" w:styleId="TOC3">
    <w:name w:val="toc 3"/>
    <w:basedOn w:val="Normal"/>
    <w:next w:val="Normal"/>
    <w:autoRedefine/>
    <w:uiPriority w:val="39"/>
    <w:unhideWhenUsed/>
    <w:rsid w:val="004F6BCB"/>
    <w:pPr>
      <w:spacing w:after="100"/>
      <w:ind w:left="440"/>
    </w:pPr>
  </w:style>
  <w:style w:type="paragraph" w:styleId="Revision">
    <w:name w:val="Revision"/>
    <w:hidden/>
    <w:uiPriority w:val="99"/>
    <w:semiHidden/>
    <w:rsid w:val="00012D7E"/>
    <w:pPr>
      <w:spacing w:after="0" w:line="240" w:lineRule="auto"/>
    </w:pPr>
  </w:style>
  <w:style w:type="character" w:styleId="UnresolvedMention">
    <w:name w:val="Unresolved Mention"/>
    <w:basedOn w:val="DefaultParagraphFont"/>
    <w:uiPriority w:val="99"/>
    <w:semiHidden/>
    <w:unhideWhenUsed/>
    <w:rsid w:val="00266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8599">
      <w:bodyDiv w:val="1"/>
      <w:marLeft w:val="0"/>
      <w:marRight w:val="0"/>
      <w:marTop w:val="0"/>
      <w:marBottom w:val="0"/>
      <w:divBdr>
        <w:top w:val="none" w:sz="0" w:space="0" w:color="auto"/>
        <w:left w:val="none" w:sz="0" w:space="0" w:color="auto"/>
        <w:bottom w:val="none" w:sz="0" w:space="0" w:color="auto"/>
        <w:right w:val="none" w:sz="0" w:space="0" w:color="auto"/>
      </w:divBdr>
    </w:div>
    <w:div w:id="590771935">
      <w:bodyDiv w:val="1"/>
      <w:marLeft w:val="0"/>
      <w:marRight w:val="0"/>
      <w:marTop w:val="0"/>
      <w:marBottom w:val="0"/>
      <w:divBdr>
        <w:top w:val="none" w:sz="0" w:space="0" w:color="auto"/>
        <w:left w:val="none" w:sz="0" w:space="0" w:color="auto"/>
        <w:bottom w:val="none" w:sz="0" w:space="0" w:color="auto"/>
        <w:right w:val="none" w:sz="0" w:space="0" w:color="auto"/>
      </w:divBdr>
    </w:div>
    <w:div w:id="1666662269">
      <w:bodyDiv w:val="1"/>
      <w:marLeft w:val="0"/>
      <w:marRight w:val="0"/>
      <w:marTop w:val="0"/>
      <w:marBottom w:val="0"/>
      <w:divBdr>
        <w:top w:val="none" w:sz="0" w:space="0" w:color="auto"/>
        <w:left w:val="none" w:sz="0" w:space="0" w:color="auto"/>
        <w:bottom w:val="none" w:sz="0" w:space="0" w:color="auto"/>
        <w:right w:val="none" w:sz="0" w:space="0" w:color="auto"/>
      </w:divBdr>
    </w:div>
    <w:div w:id="17961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islfoundation.nl/het-mode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F7D2623B60324EAF6550C826A6C317" ma:contentTypeVersion="6" ma:contentTypeDescription="Create a new document." ma:contentTypeScope="" ma:versionID="39bd8b8279edb8c693e8c63ba9a6261f">
  <xsd:schema xmlns:xsd="http://www.w3.org/2001/XMLSchema" xmlns:xs="http://www.w3.org/2001/XMLSchema" xmlns:p="http://schemas.microsoft.com/office/2006/metadata/properties" xmlns:ns2="b9fc3979-dd79-4774-9956-12cca762f9c2" xmlns:ns3="a4888b7d-eb7b-4753-adc6-009bac16a6a6" targetNamespace="http://schemas.microsoft.com/office/2006/metadata/properties" ma:root="true" ma:fieldsID="5b5d3d572e3fed11b7d729ed201d67ad" ns2:_="" ns3:_="">
    <xsd:import namespace="b9fc3979-dd79-4774-9956-12cca762f9c2"/>
    <xsd:import namespace="a4888b7d-eb7b-4753-adc6-009bac16a6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c3979-dd79-4774-9956-12cca762f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88b7d-eb7b-4753-adc6-009bac16a6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9D02E-06A8-4C79-B7FB-B019632FA667}">
  <ds:schemaRefs>
    <ds:schemaRef ds:uri="http://schemas.openxmlformats.org/officeDocument/2006/bibliography"/>
  </ds:schemaRefs>
</ds:datastoreItem>
</file>

<file path=customXml/itemProps2.xml><?xml version="1.0" encoding="utf-8"?>
<ds:datastoreItem xmlns:ds="http://schemas.openxmlformats.org/officeDocument/2006/customXml" ds:itemID="{8B6ABF40-D252-455F-AD31-2D5AA3A4C12E}"/>
</file>

<file path=customXml/itemProps3.xml><?xml version="1.0" encoding="utf-8"?>
<ds:datastoreItem xmlns:ds="http://schemas.openxmlformats.org/officeDocument/2006/customXml" ds:itemID="{9A38AC0B-A6F2-427B-A833-81576F652156}">
  <ds:schemaRefs>
    <ds:schemaRef ds:uri="http://schemas.microsoft.com/sharepoint/v3/contenttype/forms"/>
  </ds:schemaRefs>
</ds:datastoreItem>
</file>

<file path=customXml/itemProps4.xml><?xml version="1.0" encoding="utf-8"?>
<ds:datastoreItem xmlns:ds="http://schemas.openxmlformats.org/officeDocument/2006/customXml" ds:itemID="{29E0D47E-FDB1-48D8-BE01-0F223C30B0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4</Pages>
  <Words>1624</Words>
  <Characters>9260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Gemeente Nieuwegein</Company>
  <LinksUpToDate>false</LinksUpToDate>
  <CharactersWithSpaces>10863</CharactersWithSpaces>
  <SharedDoc>false</SharedDoc>
  <HLinks>
    <vt:vector size="300" baseType="variant">
      <vt:variant>
        <vt:i4>6291572</vt:i4>
      </vt:variant>
      <vt:variant>
        <vt:i4>282</vt:i4>
      </vt:variant>
      <vt:variant>
        <vt:i4>0</vt:i4>
      </vt:variant>
      <vt:variant>
        <vt:i4>5</vt:i4>
      </vt:variant>
      <vt:variant>
        <vt:lpwstr>http://kennis.nieuwegein.nl/inkoop/Welkom inkoop/Introductiepagina.aspx</vt:lpwstr>
      </vt:variant>
      <vt:variant>
        <vt:lpwstr/>
      </vt:variant>
      <vt:variant>
        <vt:i4>1310736</vt:i4>
      </vt:variant>
      <vt:variant>
        <vt:i4>279</vt:i4>
      </vt:variant>
      <vt:variant>
        <vt:i4>0</vt:i4>
      </vt:variant>
      <vt:variant>
        <vt:i4>5</vt:i4>
      </vt:variant>
      <vt:variant>
        <vt:lpwstr>https://www.mvicriteria.nl/nl</vt:lpwstr>
      </vt:variant>
      <vt:variant>
        <vt:lpwstr/>
      </vt:variant>
      <vt:variant>
        <vt:i4>6881317</vt:i4>
      </vt:variant>
      <vt:variant>
        <vt:i4>276</vt:i4>
      </vt:variant>
      <vt:variant>
        <vt:i4>0</vt:i4>
      </vt:variant>
      <vt:variant>
        <vt:i4>5</vt:i4>
      </vt:variant>
      <vt:variant>
        <vt:lpwstr>https://www.nieuwegein.nl/inwoner/contact-gemeente/klachten</vt:lpwstr>
      </vt:variant>
      <vt:variant>
        <vt:lpwstr/>
      </vt:variant>
      <vt:variant>
        <vt:i4>393244</vt:i4>
      </vt:variant>
      <vt:variant>
        <vt:i4>273</vt:i4>
      </vt:variant>
      <vt:variant>
        <vt:i4>0</vt:i4>
      </vt:variant>
      <vt:variant>
        <vt:i4>5</vt:i4>
      </vt:variant>
      <vt:variant>
        <vt:lpwstr>https://eur-lex.europa.eu/legal-content/EN/TXT/?uri=OJ:L:2022:111:TOC</vt:lpwstr>
      </vt:variant>
      <vt:variant>
        <vt:lpwstr/>
      </vt:variant>
      <vt:variant>
        <vt:i4>3276852</vt:i4>
      </vt:variant>
      <vt:variant>
        <vt:i4>270</vt:i4>
      </vt:variant>
      <vt:variant>
        <vt:i4>0</vt:i4>
      </vt:variant>
      <vt:variant>
        <vt:i4>5</vt:i4>
      </vt:variant>
      <vt:variant>
        <vt:lpwstr>https://www.pianoo.nl/nl/regelgeving/crisis-en-inkoop/sanctiepakket-rusland</vt:lpwstr>
      </vt:variant>
      <vt:variant>
        <vt:lpwstr/>
      </vt:variant>
      <vt:variant>
        <vt:i4>458769</vt:i4>
      </vt:variant>
      <vt:variant>
        <vt:i4>267</vt:i4>
      </vt:variant>
      <vt:variant>
        <vt:i4>0</vt:i4>
      </vt:variant>
      <vt:variant>
        <vt:i4>5</vt:i4>
      </vt:variant>
      <vt:variant>
        <vt:lpwstr>http://www.nieuwegein.nl/sroi</vt:lpwstr>
      </vt:variant>
      <vt:variant>
        <vt:lpwstr/>
      </vt:variant>
      <vt:variant>
        <vt:i4>1769526</vt:i4>
      </vt:variant>
      <vt:variant>
        <vt:i4>260</vt:i4>
      </vt:variant>
      <vt:variant>
        <vt:i4>0</vt:i4>
      </vt:variant>
      <vt:variant>
        <vt:i4>5</vt:i4>
      </vt:variant>
      <vt:variant>
        <vt:lpwstr/>
      </vt:variant>
      <vt:variant>
        <vt:lpwstr>_Toc59633462</vt:lpwstr>
      </vt:variant>
      <vt:variant>
        <vt:i4>1572918</vt:i4>
      </vt:variant>
      <vt:variant>
        <vt:i4>254</vt:i4>
      </vt:variant>
      <vt:variant>
        <vt:i4>0</vt:i4>
      </vt:variant>
      <vt:variant>
        <vt:i4>5</vt:i4>
      </vt:variant>
      <vt:variant>
        <vt:lpwstr/>
      </vt:variant>
      <vt:variant>
        <vt:lpwstr>_Toc59633461</vt:lpwstr>
      </vt:variant>
      <vt:variant>
        <vt:i4>1638454</vt:i4>
      </vt:variant>
      <vt:variant>
        <vt:i4>248</vt:i4>
      </vt:variant>
      <vt:variant>
        <vt:i4>0</vt:i4>
      </vt:variant>
      <vt:variant>
        <vt:i4>5</vt:i4>
      </vt:variant>
      <vt:variant>
        <vt:lpwstr/>
      </vt:variant>
      <vt:variant>
        <vt:lpwstr>_Toc59633460</vt:lpwstr>
      </vt:variant>
      <vt:variant>
        <vt:i4>1048629</vt:i4>
      </vt:variant>
      <vt:variant>
        <vt:i4>242</vt:i4>
      </vt:variant>
      <vt:variant>
        <vt:i4>0</vt:i4>
      </vt:variant>
      <vt:variant>
        <vt:i4>5</vt:i4>
      </vt:variant>
      <vt:variant>
        <vt:lpwstr/>
      </vt:variant>
      <vt:variant>
        <vt:lpwstr>_Toc59633459</vt:lpwstr>
      </vt:variant>
      <vt:variant>
        <vt:i4>1114165</vt:i4>
      </vt:variant>
      <vt:variant>
        <vt:i4>236</vt:i4>
      </vt:variant>
      <vt:variant>
        <vt:i4>0</vt:i4>
      </vt:variant>
      <vt:variant>
        <vt:i4>5</vt:i4>
      </vt:variant>
      <vt:variant>
        <vt:lpwstr/>
      </vt:variant>
      <vt:variant>
        <vt:lpwstr>_Toc59633458</vt:lpwstr>
      </vt:variant>
      <vt:variant>
        <vt:i4>1966133</vt:i4>
      </vt:variant>
      <vt:variant>
        <vt:i4>230</vt:i4>
      </vt:variant>
      <vt:variant>
        <vt:i4>0</vt:i4>
      </vt:variant>
      <vt:variant>
        <vt:i4>5</vt:i4>
      </vt:variant>
      <vt:variant>
        <vt:lpwstr/>
      </vt:variant>
      <vt:variant>
        <vt:lpwstr>_Toc59633457</vt:lpwstr>
      </vt:variant>
      <vt:variant>
        <vt:i4>2031669</vt:i4>
      </vt:variant>
      <vt:variant>
        <vt:i4>224</vt:i4>
      </vt:variant>
      <vt:variant>
        <vt:i4>0</vt:i4>
      </vt:variant>
      <vt:variant>
        <vt:i4>5</vt:i4>
      </vt:variant>
      <vt:variant>
        <vt:lpwstr/>
      </vt:variant>
      <vt:variant>
        <vt:lpwstr>_Toc59633456</vt:lpwstr>
      </vt:variant>
      <vt:variant>
        <vt:i4>1835061</vt:i4>
      </vt:variant>
      <vt:variant>
        <vt:i4>218</vt:i4>
      </vt:variant>
      <vt:variant>
        <vt:i4>0</vt:i4>
      </vt:variant>
      <vt:variant>
        <vt:i4>5</vt:i4>
      </vt:variant>
      <vt:variant>
        <vt:lpwstr/>
      </vt:variant>
      <vt:variant>
        <vt:lpwstr>_Toc59633455</vt:lpwstr>
      </vt:variant>
      <vt:variant>
        <vt:i4>1900597</vt:i4>
      </vt:variant>
      <vt:variant>
        <vt:i4>212</vt:i4>
      </vt:variant>
      <vt:variant>
        <vt:i4>0</vt:i4>
      </vt:variant>
      <vt:variant>
        <vt:i4>5</vt:i4>
      </vt:variant>
      <vt:variant>
        <vt:lpwstr/>
      </vt:variant>
      <vt:variant>
        <vt:lpwstr>_Toc59633454</vt:lpwstr>
      </vt:variant>
      <vt:variant>
        <vt:i4>1703989</vt:i4>
      </vt:variant>
      <vt:variant>
        <vt:i4>206</vt:i4>
      </vt:variant>
      <vt:variant>
        <vt:i4>0</vt:i4>
      </vt:variant>
      <vt:variant>
        <vt:i4>5</vt:i4>
      </vt:variant>
      <vt:variant>
        <vt:lpwstr/>
      </vt:variant>
      <vt:variant>
        <vt:lpwstr>_Toc59633453</vt:lpwstr>
      </vt:variant>
      <vt:variant>
        <vt:i4>1769525</vt:i4>
      </vt:variant>
      <vt:variant>
        <vt:i4>200</vt:i4>
      </vt:variant>
      <vt:variant>
        <vt:i4>0</vt:i4>
      </vt:variant>
      <vt:variant>
        <vt:i4>5</vt:i4>
      </vt:variant>
      <vt:variant>
        <vt:lpwstr/>
      </vt:variant>
      <vt:variant>
        <vt:lpwstr>_Toc59633452</vt:lpwstr>
      </vt:variant>
      <vt:variant>
        <vt:i4>1572917</vt:i4>
      </vt:variant>
      <vt:variant>
        <vt:i4>194</vt:i4>
      </vt:variant>
      <vt:variant>
        <vt:i4>0</vt:i4>
      </vt:variant>
      <vt:variant>
        <vt:i4>5</vt:i4>
      </vt:variant>
      <vt:variant>
        <vt:lpwstr/>
      </vt:variant>
      <vt:variant>
        <vt:lpwstr>_Toc59633451</vt:lpwstr>
      </vt:variant>
      <vt:variant>
        <vt:i4>1638453</vt:i4>
      </vt:variant>
      <vt:variant>
        <vt:i4>188</vt:i4>
      </vt:variant>
      <vt:variant>
        <vt:i4>0</vt:i4>
      </vt:variant>
      <vt:variant>
        <vt:i4>5</vt:i4>
      </vt:variant>
      <vt:variant>
        <vt:lpwstr/>
      </vt:variant>
      <vt:variant>
        <vt:lpwstr>_Toc59633450</vt:lpwstr>
      </vt:variant>
      <vt:variant>
        <vt:i4>1048628</vt:i4>
      </vt:variant>
      <vt:variant>
        <vt:i4>182</vt:i4>
      </vt:variant>
      <vt:variant>
        <vt:i4>0</vt:i4>
      </vt:variant>
      <vt:variant>
        <vt:i4>5</vt:i4>
      </vt:variant>
      <vt:variant>
        <vt:lpwstr/>
      </vt:variant>
      <vt:variant>
        <vt:lpwstr>_Toc59633449</vt:lpwstr>
      </vt:variant>
      <vt:variant>
        <vt:i4>1114164</vt:i4>
      </vt:variant>
      <vt:variant>
        <vt:i4>176</vt:i4>
      </vt:variant>
      <vt:variant>
        <vt:i4>0</vt:i4>
      </vt:variant>
      <vt:variant>
        <vt:i4>5</vt:i4>
      </vt:variant>
      <vt:variant>
        <vt:lpwstr/>
      </vt:variant>
      <vt:variant>
        <vt:lpwstr>_Toc59633448</vt:lpwstr>
      </vt:variant>
      <vt:variant>
        <vt:i4>1966132</vt:i4>
      </vt:variant>
      <vt:variant>
        <vt:i4>170</vt:i4>
      </vt:variant>
      <vt:variant>
        <vt:i4>0</vt:i4>
      </vt:variant>
      <vt:variant>
        <vt:i4>5</vt:i4>
      </vt:variant>
      <vt:variant>
        <vt:lpwstr/>
      </vt:variant>
      <vt:variant>
        <vt:lpwstr>_Toc59633447</vt:lpwstr>
      </vt:variant>
      <vt:variant>
        <vt:i4>2031668</vt:i4>
      </vt:variant>
      <vt:variant>
        <vt:i4>164</vt:i4>
      </vt:variant>
      <vt:variant>
        <vt:i4>0</vt:i4>
      </vt:variant>
      <vt:variant>
        <vt:i4>5</vt:i4>
      </vt:variant>
      <vt:variant>
        <vt:lpwstr/>
      </vt:variant>
      <vt:variant>
        <vt:lpwstr>_Toc59633446</vt:lpwstr>
      </vt:variant>
      <vt:variant>
        <vt:i4>1835060</vt:i4>
      </vt:variant>
      <vt:variant>
        <vt:i4>158</vt:i4>
      </vt:variant>
      <vt:variant>
        <vt:i4>0</vt:i4>
      </vt:variant>
      <vt:variant>
        <vt:i4>5</vt:i4>
      </vt:variant>
      <vt:variant>
        <vt:lpwstr/>
      </vt:variant>
      <vt:variant>
        <vt:lpwstr>_Toc59633445</vt:lpwstr>
      </vt:variant>
      <vt:variant>
        <vt:i4>1900596</vt:i4>
      </vt:variant>
      <vt:variant>
        <vt:i4>152</vt:i4>
      </vt:variant>
      <vt:variant>
        <vt:i4>0</vt:i4>
      </vt:variant>
      <vt:variant>
        <vt:i4>5</vt:i4>
      </vt:variant>
      <vt:variant>
        <vt:lpwstr/>
      </vt:variant>
      <vt:variant>
        <vt:lpwstr>_Toc59633444</vt:lpwstr>
      </vt:variant>
      <vt:variant>
        <vt:i4>1703988</vt:i4>
      </vt:variant>
      <vt:variant>
        <vt:i4>146</vt:i4>
      </vt:variant>
      <vt:variant>
        <vt:i4>0</vt:i4>
      </vt:variant>
      <vt:variant>
        <vt:i4>5</vt:i4>
      </vt:variant>
      <vt:variant>
        <vt:lpwstr/>
      </vt:variant>
      <vt:variant>
        <vt:lpwstr>_Toc59633443</vt:lpwstr>
      </vt:variant>
      <vt:variant>
        <vt:i4>1769524</vt:i4>
      </vt:variant>
      <vt:variant>
        <vt:i4>140</vt:i4>
      </vt:variant>
      <vt:variant>
        <vt:i4>0</vt:i4>
      </vt:variant>
      <vt:variant>
        <vt:i4>5</vt:i4>
      </vt:variant>
      <vt:variant>
        <vt:lpwstr/>
      </vt:variant>
      <vt:variant>
        <vt:lpwstr>_Toc59633442</vt:lpwstr>
      </vt:variant>
      <vt:variant>
        <vt:i4>1572916</vt:i4>
      </vt:variant>
      <vt:variant>
        <vt:i4>134</vt:i4>
      </vt:variant>
      <vt:variant>
        <vt:i4>0</vt:i4>
      </vt:variant>
      <vt:variant>
        <vt:i4>5</vt:i4>
      </vt:variant>
      <vt:variant>
        <vt:lpwstr/>
      </vt:variant>
      <vt:variant>
        <vt:lpwstr>_Toc59633441</vt:lpwstr>
      </vt:variant>
      <vt:variant>
        <vt:i4>1638452</vt:i4>
      </vt:variant>
      <vt:variant>
        <vt:i4>128</vt:i4>
      </vt:variant>
      <vt:variant>
        <vt:i4>0</vt:i4>
      </vt:variant>
      <vt:variant>
        <vt:i4>5</vt:i4>
      </vt:variant>
      <vt:variant>
        <vt:lpwstr/>
      </vt:variant>
      <vt:variant>
        <vt:lpwstr>_Toc59633440</vt:lpwstr>
      </vt:variant>
      <vt:variant>
        <vt:i4>1048627</vt:i4>
      </vt:variant>
      <vt:variant>
        <vt:i4>122</vt:i4>
      </vt:variant>
      <vt:variant>
        <vt:i4>0</vt:i4>
      </vt:variant>
      <vt:variant>
        <vt:i4>5</vt:i4>
      </vt:variant>
      <vt:variant>
        <vt:lpwstr/>
      </vt:variant>
      <vt:variant>
        <vt:lpwstr>_Toc59633439</vt:lpwstr>
      </vt:variant>
      <vt:variant>
        <vt:i4>1114163</vt:i4>
      </vt:variant>
      <vt:variant>
        <vt:i4>116</vt:i4>
      </vt:variant>
      <vt:variant>
        <vt:i4>0</vt:i4>
      </vt:variant>
      <vt:variant>
        <vt:i4>5</vt:i4>
      </vt:variant>
      <vt:variant>
        <vt:lpwstr/>
      </vt:variant>
      <vt:variant>
        <vt:lpwstr>_Toc59633438</vt:lpwstr>
      </vt:variant>
      <vt:variant>
        <vt:i4>1966131</vt:i4>
      </vt:variant>
      <vt:variant>
        <vt:i4>110</vt:i4>
      </vt:variant>
      <vt:variant>
        <vt:i4>0</vt:i4>
      </vt:variant>
      <vt:variant>
        <vt:i4>5</vt:i4>
      </vt:variant>
      <vt:variant>
        <vt:lpwstr/>
      </vt:variant>
      <vt:variant>
        <vt:lpwstr>_Toc59633437</vt:lpwstr>
      </vt:variant>
      <vt:variant>
        <vt:i4>2031667</vt:i4>
      </vt:variant>
      <vt:variant>
        <vt:i4>104</vt:i4>
      </vt:variant>
      <vt:variant>
        <vt:i4>0</vt:i4>
      </vt:variant>
      <vt:variant>
        <vt:i4>5</vt:i4>
      </vt:variant>
      <vt:variant>
        <vt:lpwstr/>
      </vt:variant>
      <vt:variant>
        <vt:lpwstr>_Toc59633436</vt:lpwstr>
      </vt:variant>
      <vt:variant>
        <vt:i4>1835059</vt:i4>
      </vt:variant>
      <vt:variant>
        <vt:i4>98</vt:i4>
      </vt:variant>
      <vt:variant>
        <vt:i4>0</vt:i4>
      </vt:variant>
      <vt:variant>
        <vt:i4>5</vt:i4>
      </vt:variant>
      <vt:variant>
        <vt:lpwstr/>
      </vt:variant>
      <vt:variant>
        <vt:lpwstr>_Toc59633435</vt:lpwstr>
      </vt:variant>
      <vt:variant>
        <vt:i4>1900595</vt:i4>
      </vt:variant>
      <vt:variant>
        <vt:i4>92</vt:i4>
      </vt:variant>
      <vt:variant>
        <vt:i4>0</vt:i4>
      </vt:variant>
      <vt:variant>
        <vt:i4>5</vt:i4>
      </vt:variant>
      <vt:variant>
        <vt:lpwstr/>
      </vt:variant>
      <vt:variant>
        <vt:lpwstr>_Toc59633434</vt:lpwstr>
      </vt:variant>
      <vt:variant>
        <vt:i4>1703987</vt:i4>
      </vt:variant>
      <vt:variant>
        <vt:i4>86</vt:i4>
      </vt:variant>
      <vt:variant>
        <vt:i4>0</vt:i4>
      </vt:variant>
      <vt:variant>
        <vt:i4>5</vt:i4>
      </vt:variant>
      <vt:variant>
        <vt:lpwstr/>
      </vt:variant>
      <vt:variant>
        <vt:lpwstr>_Toc59633433</vt:lpwstr>
      </vt:variant>
      <vt:variant>
        <vt:i4>1769523</vt:i4>
      </vt:variant>
      <vt:variant>
        <vt:i4>80</vt:i4>
      </vt:variant>
      <vt:variant>
        <vt:i4>0</vt:i4>
      </vt:variant>
      <vt:variant>
        <vt:i4>5</vt:i4>
      </vt:variant>
      <vt:variant>
        <vt:lpwstr/>
      </vt:variant>
      <vt:variant>
        <vt:lpwstr>_Toc59633432</vt:lpwstr>
      </vt:variant>
      <vt:variant>
        <vt:i4>1572915</vt:i4>
      </vt:variant>
      <vt:variant>
        <vt:i4>74</vt:i4>
      </vt:variant>
      <vt:variant>
        <vt:i4>0</vt:i4>
      </vt:variant>
      <vt:variant>
        <vt:i4>5</vt:i4>
      </vt:variant>
      <vt:variant>
        <vt:lpwstr/>
      </vt:variant>
      <vt:variant>
        <vt:lpwstr>_Toc59633431</vt:lpwstr>
      </vt:variant>
      <vt:variant>
        <vt:i4>1638451</vt:i4>
      </vt:variant>
      <vt:variant>
        <vt:i4>68</vt:i4>
      </vt:variant>
      <vt:variant>
        <vt:i4>0</vt:i4>
      </vt:variant>
      <vt:variant>
        <vt:i4>5</vt:i4>
      </vt:variant>
      <vt:variant>
        <vt:lpwstr/>
      </vt:variant>
      <vt:variant>
        <vt:lpwstr>_Toc59633430</vt:lpwstr>
      </vt:variant>
      <vt:variant>
        <vt:i4>1048626</vt:i4>
      </vt:variant>
      <vt:variant>
        <vt:i4>62</vt:i4>
      </vt:variant>
      <vt:variant>
        <vt:i4>0</vt:i4>
      </vt:variant>
      <vt:variant>
        <vt:i4>5</vt:i4>
      </vt:variant>
      <vt:variant>
        <vt:lpwstr/>
      </vt:variant>
      <vt:variant>
        <vt:lpwstr>_Toc59633429</vt:lpwstr>
      </vt:variant>
      <vt:variant>
        <vt:i4>1114162</vt:i4>
      </vt:variant>
      <vt:variant>
        <vt:i4>56</vt:i4>
      </vt:variant>
      <vt:variant>
        <vt:i4>0</vt:i4>
      </vt:variant>
      <vt:variant>
        <vt:i4>5</vt:i4>
      </vt:variant>
      <vt:variant>
        <vt:lpwstr/>
      </vt:variant>
      <vt:variant>
        <vt:lpwstr>_Toc59633428</vt:lpwstr>
      </vt:variant>
      <vt:variant>
        <vt:i4>1966130</vt:i4>
      </vt:variant>
      <vt:variant>
        <vt:i4>50</vt:i4>
      </vt:variant>
      <vt:variant>
        <vt:i4>0</vt:i4>
      </vt:variant>
      <vt:variant>
        <vt:i4>5</vt:i4>
      </vt:variant>
      <vt:variant>
        <vt:lpwstr/>
      </vt:variant>
      <vt:variant>
        <vt:lpwstr>_Toc59633427</vt:lpwstr>
      </vt:variant>
      <vt:variant>
        <vt:i4>2031666</vt:i4>
      </vt:variant>
      <vt:variant>
        <vt:i4>44</vt:i4>
      </vt:variant>
      <vt:variant>
        <vt:i4>0</vt:i4>
      </vt:variant>
      <vt:variant>
        <vt:i4>5</vt:i4>
      </vt:variant>
      <vt:variant>
        <vt:lpwstr/>
      </vt:variant>
      <vt:variant>
        <vt:lpwstr>_Toc59633426</vt:lpwstr>
      </vt:variant>
      <vt:variant>
        <vt:i4>1835058</vt:i4>
      </vt:variant>
      <vt:variant>
        <vt:i4>38</vt:i4>
      </vt:variant>
      <vt:variant>
        <vt:i4>0</vt:i4>
      </vt:variant>
      <vt:variant>
        <vt:i4>5</vt:i4>
      </vt:variant>
      <vt:variant>
        <vt:lpwstr/>
      </vt:variant>
      <vt:variant>
        <vt:lpwstr>_Toc59633425</vt:lpwstr>
      </vt:variant>
      <vt:variant>
        <vt:i4>1900594</vt:i4>
      </vt:variant>
      <vt:variant>
        <vt:i4>32</vt:i4>
      </vt:variant>
      <vt:variant>
        <vt:i4>0</vt:i4>
      </vt:variant>
      <vt:variant>
        <vt:i4>5</vt:i4>
      </vt:variant>
      <vt:variant>
        <vt:lpwstr/>
      </vt:variant>
      <vt:variant>
        <vt:lpwstr>_Toc59633424</vt:lpwstr>
      </vt:variant>
      <vt:variant>
        <vt:i4>1703986</vt:i4>
      </vt:variant>
      <vt:variant>
        <vt:i4>26</vt:i4>
      </vt:variant>
      <vt:variant>
        <vt:i4>0</vt:i4>
      </vt:variant>
      <vt:variant>
        <vt:i4>5</vt:i4>
      </vt:variant>
      <vt:variant>
        <vt:lpwstr/>
      </vt:variant>
      <vt:variant>
        <vt:lpwstr>_Toc59633423</vt:lpwstr>
      </vt:variant>
      <vt:variant>
        <vt:i4>1769522</vt:i4>
      </vt:variant>
      <vt:variant>
        <vt:i4>20</vt:i4>
      </vt:variant>
      <vt:variant>
        <vt:i4>0</vt:i4>
      </vt:variant>
      <vt:variant>
        <vt:i4>5</vt:i4>
      </vt:variant>
      <vt:variant>
        <vt:lpwstr/>
      </vt:variant>
      <vt:variant>
        <vt:lpwstr>_Toc59633422</vt:lpwstr>
      </vt:variant>
      <vt:variant>
        <vt:i4>1572914</vt:i4>
      </vt:variant>
      <vt:variant>
        <vt:i4>14</vt:i4>
      </vt:variant>
      <vt:variant>
        <vt:i4>0</vt:i4>
      </vt:variant>
      <vt:variant>
        <vt:i4>5</vt:i4>
      </vt:variant>
      <vt:variant>
        <vt:lpwstr/>
      </vt:variant>
      <vt:variant>
        <vt:lpwstr>_Toc59633421</vt:lpwstr>
      </vt:variant>
      <vt:variant>
        <vt:i4>1638450</vt:i4>
      </vt:variant>
      <vt:variant>
        <vt:i4>8</vt:i4>
      </vt:variant>
      <vt:variant>
        <vt:i4>0</vt:i4>
      </vt:variant>
      <vt:variant>
        <vt:i4>5</vt:i4>
      </vt:variant>
      <vt:variant>
        <vt:lpwstr/>
      </vt:variant>
      <vt:variant>
        <vt:lpwstr>_Toc59633420</vt:lpwstr>
      </vt:variant>
      <vt:variant>
        <vt:i4>1048625</vt:i4>
      </vt:variant>
      <vt:variant>
        <vt:i4>2</vt:i4>
      </vt:variant>
      <vt:variant>
        <vt:i4>0</vt:i4>
      </vt:variant>
      <vt:variant>
        <vt:i4>5</vt:i4>
      </vt:variant>
      <vt:variant>
        <vt:lpwstr/>
      </vt:variant>
      <vt:variant>
        <vt:lpwstr>_Toc59633419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Doorn, Thomas van</dc:creator>
  <cp:keywords/>
  <cp:lastModifiedBy>Deniz Ayhan</cp:lastModifiedBy>
  <cp:revision>259</cp:revision>
  <cp:lastPrinted>2019-11-22T18:16:00Z</cp:lastPrinted>
  <dcterms:created xsi:type="dcterms:W3CDTF">2020-01-27T16:50:00Z</dcterms:created>
  <dcterms:modified xsi:type="dcterms:W3CDTF">2024-03-22T09:32:00Z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0x01010093F7D2623B60324EAF6550C826A6C317</vt:lpwstr>
  </property>
</Properties>
</file>