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Default Extension="gif" ContentType="image/gif"> </Default>
  <Default Extension="jpg" ContentType="image/jp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widowControl/>
        <w:spacing w:lineRule="auto" w:line="240" w:before="239" w:after="239"/>
        <w:jc w:val="left"/>
        <w:textAlignment w:val="top"/>
        <w:rPr/>
      </w:pPr>
      <w:r>
        <w:rPr>
          <w:rFonts w:eastAsia="Calibri" w:cs="Calibri"/>
          <w:sz w:val="24"/>
          <w:szCs w:val="24"/>
        </w:rPr>
        <w:t xml:space="preserve"> </w:t>
      </w:r>
    </w:p>
    <w:tbl>
      <w:tblPr>
        <w:tblStyle w:val="NormalTablePHPDOCX"/>
        <w:tblW w:w="5000" w:type="pct"/>
        <w:jc w:val="left"/>
        <w:tblInd w:w="0" w:type="dxa"/>
        <w:tblLayout w:type="fixed"/>
        <w:tblCellMar>
          <w:top w:w="0" w:type="dxa"/>
          <w:left w:w="108" w:type="dxa"/>
          <w:bottom w:w="0" w:type="dxa"/>
          <w:right w:w="108" w:type="dxa"/>
        </w:tblCellMar>
      </w:tblPr>
      <w:tblGrid>
        <w:gridCol w:w="9026"/>
      </w:tblGrid>
      <w:tr>
        <w:trPr>
          <w:cantSplit w:val="true"/>
        </w:trPr>
        <w:tc>
          <w:tcPr>
            <w:tcW w:w="9026" w:type="dxa"/>
            <w:tcBorders>
              <w:top w:val="single" w:sz="4" w:space="0" w:color="000000"/>
              <w:left w:val="single" w:sz="4" w:space="0" w:color="000000"/>
              <w:bottom w:val="single" w:sz="4" w:space="0" w:color="000000"/>
              <w:right w:val="single" w:sz="4" w:space="0" w:color="000000"/>
            </w:tcBorders>
          </w:tcPr>
          <w:p>
            <w:pPr>
              <w:pStyle w:val="Normal"/>
              <w:keepLines/>
              <w:widowControl/>
              <w:spacing w:lineRule="auto" w:line="240" w:before="0" w:after="239"/>
              <w:jc w:val="left"/>
              <w:textAlignment w:val="top"/>
              <w:rPr>
                <w:rFonts w:ascii="Calibri" w:hAnsi="Calibri" w:eastAsia="Calibri" w:cs=""/>
                <w:kern w:val="0"/>
                <w:sz w:val="24"/>
                <w:szCs w:val="24"/>
                <w:lang w:val="en-NL" w:eastAsia="en-US" w:bidi="ar-SA"/>
              </w:rPr>
            </w:pPr>
            <w:r>
              <w:rPr>
                <w:rFonts w:eastAsia="Calibri" w:cs="Calibri"/>
                <w:b/>
                <w:bCs/>
                <w:kern w:val="0"/>
                <w:sz w:val="24"/>
                <w:szCs w:val="24"/>
                <w:lang w:val="en-NL" w:eastAsia="en-US" w:bidi="ar-SA"/>
              </w:rPr>
              <w:t>Releasenote:</w:t>
            </w:r>
          </w:p>
          <w:p>
            <w:pPr>
              <w:pStyle w:val="Normal"/>
              <w:keepLines/>
              <w:widowControl/>
              <w:numPr>
                <w:ilvl w:val="0"/>
                <w:numId w:val="5"/>
              </w:numPr>
              <w:spacing w:lineRule="auto" w:line="240" w:before="0" w:after="0"/>
              <w:jc w:val="left"/>
              <w:rPr>
                <w:rFonts w:ascii="Calibri" w:hAnsi="Calibri" w:eastAsia="Calibri" w:cs="Calibri"/>
                <w:sz w:val="24"/>
                <w:szCs w:val="24"/>
              </w:rPr>
            </w:pPr>
            <w:r>
              <w:rPr>
                <w:rFonts w:eastAsia="Calibri" w:cs="Calibri"/>
                <w:color w:val="000000"/>
                <w:kern w:val="0"/>
                <w:sz w:val="24"/>
                <w:szCs w:val="24"/>
                <w:lang w:val="en-NL" w:eastAsia="en-US" w:bidi="ar-SA"/>
              </w:rPr>
              <w:t>Bepalingen ten aanzien van algoritmische toepassingen worden thans geregeld in artikel 13 GIBIT 2023. De onderhavige overeenkomst biedt derhalve enkel ruimte om hieromtrent aanvullende afspraken te maken.</w:t>
            </w:r>
          </w:p>
          <w:p>
            <w:pPr>
              <w:pStyle w:val="Normal"/>
              <w:keepLines/>
              <w:widowControl/>
              <w:spacing w:lineRule="auto" w:line="240" w:before="239" w:after="239"/>
              <w:jc w:val="left"/>
              <w:textAlignment w:val="top"/>
              <w:rPr>
                <w:rFonts w:ascii="Calibri" w:hAnsi="Calibri" w:eastAsia="Calibri" w:cs=""/>
                <w:kern w:val="0"/>
                <w:sz w:val="24"/>
                <w:szCs w:val="24"/>
                <w:lang w:val="en-NL" w:eastAsia="en-US" w:bidi="ar-SA"/>
              </w:rPr>
            </w:pPr>
            <w:r>
              <w:rPr>
                <w:rFonts w:eastAsia="Calibri" w:cs="Calibri"/>
                <w:b/>
                <w:bCs/>
                <w:kern w:val="0"/>
                <w:sz w:val="24"/>
                <w:szCs w:val="24"/>
                <w:lang w:val="en-NL" w:eastAsia="en-US" w:bidi="ar-SA"/>
              </w:rPr>
              <w:t>VERWIJDER DIT BLOK TEKST ALVORENS U DE OVEREENKOMST IN GEBRUIK NEEMT, DIT IS ALLEEN TER INFORMATIE!</w:t>
            </w:r>
          </w:p>
          <w:p>
            <w:pPr>
              <w:pStyle w:val="Normal"/>
              <w:keepLines/>
              <w:widowControl/>
              <w:spacing w:lineRule="auto" w:line="240" w:before="239" w:after="239"/>
              <w:jc w:val="left"/>
              <w:textAlignment w:val="top"/>
              <w:rPr>
                <w:rFonts w:ascii="Calibri" w:hAnsi="Calibri" w:eastAsia="Calibri" w:cs=""/>
                <w:kern w:val="0"/>
                <w:sz w:val="24"/>
                <w:szCs w:val="24"/>
                <w:lang w:val="en-NL" w:eastAsia="en-US" w:bidi="ar-SA"/>
              </w:rPr>
            </w:pPr>
            <w:r>
              <w:rPr>
                <w:rFonts w:eastAsia="Calibri" w:cs="Calibri"/>
                <w:kern w:val="0"/>
                <w:sz w:val="24"/>
                <w:szCs w:val="24"/>
                <w:lang w:val="en-NL" w:eastAsia="en-US" w:bidi="ar-SA"/>
              </w:rPr>
              <w:t xml:space="preserve">Voor u ligt de door u gegenereerde overeenkomst op basis van de GIBIT 2023. </w:t>
            </w:r>
          </w:p>
          <w:p>
            <w:pPr>
              <w:pStyle w:val="Normal"/>
              <w:keepLines/>
              <w:widowControl/>
              <w:spacing w:lineRule="auto" w:line="240" w:before="239" w:after="239"/>
              <w:jc w:val="left"/>
              <w:textAlignment w:val="top"/>
              <w:rPr>
                <w:rFonts w:ascii="Calibri" w:hAnsi="Calibri" w:eastAsia="Calibri" w:cs=""/>
                <w:kern w:val="0"/>
                <w:sz w:val="24"/>
                <w:szCs w:val="24"/>
                <w:lang w:val="en-NL" w:eastAsia="en-US" w:bidi="ar-SA"/>
              </w:rPr>
            </w:pPr>
            <w:r>
              <w:rPr>
                <w:rFonts w:eastAsia="Calibri" w:cs="Calibri"/>
                <w:kern w:val="0"/>
                <w:sz w:val="24"/>
                <w:szCs w:val="24"/>
                <w:lang w:val="en-NL" w:eastAsia="en-US" w:bidi="ar-SA"/>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pPr>
              <w:pStyle w:val="Normal"/>
              <w:keepLines/>
              <w:widowControl/>
              <w:spacing w:lineRule="auto" w:line="240" w:before="239" w:after="239"/>
              <w:jc w:val="left"/>
              <w:textAlignment w:val="top"/>
              <w:rPr>
                <w:rFonts w:ascii="Calibri" w:hAnsi="Calibri" w:eastAsia="Calibri" w:cs=""/>
                <w:kern w:val="0"/>
                <w:sz w:val="24"/>
                <w:szCs w:val="24"/>
                <w:lang w:val="en-NL" w:eastAsia="en-US" w:bidi="ar-SA"/>
              </w:rPr>
            </w:pPr>
            <w:r>
              <w:rPr>
                <w:rFonts w:eastAsia="Calibri" w:cs="Calibri"/>
                <w:kern w:val="0"/>
                <w:sz w:val="24"/>
                <w:szCs w:val="24"/>
                <w:lang w:val="en-NL" w:eastAsia="en-US" w:bidi="ar-SA"/>
              </w:rPr>
              <w:t>In de tekst ziet u rechte, onderstreepte en cursieve tekst. Deze hebben de volgende betekenissen:</w:t>
            </w:r>
          </w:p>
          <w:p>
            <w:pPr>
              <w:pStyle w:val="Normal"/>
              <w:keepLines/>
              <w:widowControl/>
              <w:numPr>
                <w:ilvl w:val="0"/>
                <w:numId w:val="4"/>
              </w:numPr>
              <w:spacing w:lineRule="auto" w:line="240" w:before="0" w:after="0"/>
              <w:jc w:val="left"/>
              <w:rPr>
                <w:rFonts w:ascii="Calibri" w:hAnsi="Calibri" w:eastAsia="Calibri" w:cs="Calibri"/>
                <w:sz w:val="24"/>
                <w:szCs w:val="24"/>
              </w:rPr>
            </w:pPr>
            <w:r>
              <w:rPr>
                <w:rFonts w:eastAsia="Calibri" w:cs="Calibri"/>
                <w:kern w:val="0"/>
                <w:sz w:val="24"/>
                <w:szCs w:val="24"/>
                <w:lang w:val="en-NL" w:eastAsia="en-US" w:bidi="ar-SA"/>
              </w:rPr>
              <w:t>Rechte tekst: Standaard tekst waar uw keuzes, in de generator, geen invloed op hebben gehad.</w:t>
            </w:r>
          </w:p>
          <w:p>
            <w:pPr>
              <w:pStyle w:val="Normal"/>
              <w:keepLines/>
              <w:widowControl/>
              <w:numPr>
                <w:ilvl w:val="0"/>
                <w:numId w:val="4"/>
              </w:numPr>
              <w:spacing w:lineRule="auto" w:line="240" w:before="0" w:after="0"/>
              <w:jc w:val="left"/>
              <w:rPr>
                <w:rFonts w:ascii="Calibri" w:hAnsi="Calibri" w:eastAsia="Calibri" w:cs="Calibri"/>
                <w:sz w:val="24"/>
                <w:szCs w:val="24"/>
              </w:rPr>
            </w:pPr>
            <w:r>
              <w:rPr>
                <w:rFonts w:eastAsia="Calibri" w:cs="Calibri"/>
                <w:i/>
                <w:iCs/>
                <w:kern w:val="0"/>
                <w:sz w:val="24"/>
                <w:szCs w:val="24"/>
                <w:lang w:val="en-NL" w:eastAsia="en-US" w:bidi="ar-SA"/>
              </w:rPr>
              <w:t>Cursieve tekst: tekst die gegenereerd is op basis van uw keuzes en invulling.</w:t>
            </w:r>
          </w:p>
          <w:p>
            <w:pPr>
              <w:pStyle w:val="Normal"/>
              <w:keepLines/>
              <w:widowControl/>
              <w:numPr>
                <w:ilvl w:val="0"/>
                <w:numId w:val="4"/>
              </w:numPr>
              <w:spacing w:lineRule="auto" w:line="240" w:before="0" w:after="0"/>
              <w:jc w:val="left"/>
              <w:rPr>
                <w:rFonts w:ascii="Calibri" w:hAnsi="Calibri" w:eastAsia="Calibri" w:cs="Calibri"/>
                <w:sz w:val="24"/>
                <w:szCs w:val="24"/>
              </w:rPr>
            </w:pPr>
            <w:r>
              <w:rPr>
                <w:rFonts w:eastAsia="Calibri" w:cs="Calibri"/>
                <w:kern w:val="0"/>
                <w:sz w:val="24"/>
                <w:szCs w:val="24"/>
                <w:u w:val="single" w:color="000000"/>
                <w:lang w:val="en-NL" w:eastAsia="en-US" w:bidi="ar-SA"/>
              </w:rPr>
              <w:t>Onderstreepte tekst: Tekst die gegenereerd is op basis van een keuze, maar als standaard geadviseerd wordt door Team GIBIT en in de vraag vooraf aangevinkt is.</w:t>
            </w:r>
          </w:p>
          <w:p>
            <w:pPr>
              <w:pStyle w:val="Normal"/>
              <w:keepLines/>
              <w:widowControl/>
              <w:spacing w:lineRule="auto" w:line="240" w:before="239" w:after="239"/>
              <w:jc w:val="left"/>
              <w:textAlignment w:val="top"/>
              <w:rPr>
                <w:rFonts w:ascii="Calibri" w:hAnsi="Calibri" w:eastAsia="Calibri" w:cs=""/>
                <w:kern w:val="0"/>
                <w:sz w:val="24"/>
                <w:szCs w:val="24"/>
                <w:lang w:val="en-NL" w:eastAsia="en-US" w:bidi="ar-SA"/>
              </w:rPr>
            </w:pPr>
            <w:r>
              <w:rPr>
                <w:rFonts w:eastAsia="Calibri" w:cs="Calibri"/>
                <w:kern w:val="0"/>
                <w:sz w:val="24"/>
                <w:szCs w:val="24"/>
                <w:lang w:val="en-NL" w:eastAsia="en-US" w:bidi="ar-SA"/>
              </w:rPr>
              <w:t>Wij adviseren om de cursief, en onderstreepte tekst zo te laten. Op deze wijze kunt u en uw leverancier gemakkelijk achterhalen welke wijzigingen er in de overeenkomst ten opzichte van de GIBIT 2023 gemaakt zijn.</w:t>
            </w:r>
          </w:p>
          <w:p>
            <w:pPr>
              <w:pStyle w:val="Normal"/>
              <w:keepLines/>
              <w:widowControl/>
              <w:spacing w:lineRule="auto" w:line="240" w:before="239" w:after="0"/>
              <w:jc w:val="left"/>
              <w:textAlignment w:val="top"/>
              <w:rPr>
                <w:rFonts w:ascii="Calibri" w:hAnsi="Calibri" w:eastAsia="Calibri" w:cs=""/>
                <w:kern w:val="0"/>
                <w:sz w:val="24"/>
                <w:szCs w:val="24"/>
                <w:lang w:val="en-NL" w:eastAsia="en-US" w:bidi="ar-SA"/>
              </w:rPr>
            </w:pPr>
            <w:r>
              <w:rPr>
                <w:rFonts w:eastAsia="Calibri" w:cs="Calibri"/>
                <w:kern w:val="0"/>
                <w:sz w:val="24"/>
                <w:szCs w:val="24"/>
                <w:lang w:val="en-NL" w:eastAsia="en-US" w:bidi="ar-SA"/>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pPr>
        <w:pStyle w:val="Heading2"/>
        <w:widowControl/>
        <w:spacing w:lineRule="auto" w:line="240" w:before="199" w:after="199"/>
        <w:rPr/>
      </w:pPr>
      <w:r>
        <w:rPr/>
        <w:t xml:space="preserve">CONCEPTOVEREENKOMST </w:t>
      </w:r>
      <w:r>
        <w:rPr>
          <w:i/>
          <w:iCs/>
        </w:rPr>
        <w:t>ten behoeve van Microsoft Enterprise Agreement</w:t>
      </w:r>
      <w:r>
        <w:rPr/>
        <w:t xml:space="preserve"> </w:t>
      </w:r>
    </w:p>
    <w:p>
      <w:pPr>
        <w:pStyle w:val="Normal"/>
        <w:widowControl/>
        <w:rPr/>
      </w:pPr>
      <w:r>
        <w:rPr>
          <w:b/>
          <w:bCs/>
          <w:i/>
          <w:iCs/>
        </w:rPr>
        <w:t>REFERENTIE: 050-2024</w:t>
      </w:r>
    </w:p>
    <w:p>
      <w:pPr>
        <w:pStyle w:val="Normal"/>
        <w:widowControl/>
        <w:spacing w:lineRule="auto" w:line="240" w:before="239" w:after="239"/>
        <w:jc w:val="left"/>
        <w:textAlignment w:val="top"/>
        <w:rPr/>
      </w:pPr>
      <w:r>
        <w:rPr>
          <w:rFonts w:eastAsia="Calibri" w:cs="Calibri"/>
          <w:b/>
          <w:bCs/>
          <w:sz w:val="24"/>
          <w:szCs w:val="24"/>
        </w:rPr>
        <w:t>Ondergetekenden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 xml:space="preserve">De publiekrechtelijke rechtspersoon </w:t>
      </w:r>
      <w:r>
        <w:rPr>
          <w:rFonts w:eastAsia="Calibri" w:cs="Calibri"/>
          <w:i/>
          <w:iCs/>
          <w:sz w:val="24"/>
          <w:szCs w:val="24"/>
        </w:rPr>
        <w:t>Gemeente Zaanstad</w:t>
      </w:r>
      <w:r>
        <w:rPr>
          <w:rFonts w:eastAsia="Calibri" w:cs="Calibri"/>
          <w:sz w:val="24"/>
          <w:szCs w:val="24"/>
        </w:rPr>
        <w:t>, te dezen rechtsgeldig vertegenwoordigd door , , hierna te noemen "</w:t>
      </w:r>
      <w:r>
        <w:rPr>
          <w:rFonts w:eastAsia="Calibri" w:cs="Calibri"/>
          <w:b/>
          <w:bCs/>
          <w:sz w:val="24"/>
          <w:szCs w:val="24"/>
        </w:rPr>
        <w:t>Opdrachtgever</w:t>
      </w:r>
      <w:r>
        <w:rPr>
          <w:rFonts w:eastAsia="Calibri" w:cs="Calibri"/>
          <w:sz w:val="24"/>
          <w:szCs w:val="24"/>
        </w:rPr>
        <w:t>";</w:t>
      </w:r>
    </w:p>
    <w:p>
      <w:pPr>
        <w:pStyle w:val="Normal"/>
        <w:widowControl/>
        <w:spacing w:lineRule="auto" w:line="240" w:before="239" w:after="239"/>
        <w:jc w:val="left"/>
        <w:textAlignment w:val="top"/>
        <w:rPr/>
      </w:pPr>
      <w:r>
        <w:rPr>
          <w:rFonts w:eastAsia="Calibri" w:cs="Calibri"/>
          <w:i/>
          <w:iCs/>
          <w:sz w:val="24"/>
          <w:szCs w:val="24"/>
        </w:rPr>
        <w:t>en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i/>
          <w:iCs/>
          <w:sz w:val="24"/>
          <w:szCs w:val="24"/>
        </w:rPr>
        <w:t>("NAAM_HIER")</w:t>
      </w:r>
      <w:r>
        <w:rPr>
          <w:rFonts w:eastAsia="Calibri" w:cs="Calibri"/>
          <w:sz w:val="24"/>
          <w:szCs w:val="24"/>
        </w:rPr>
        <w:t xml:space="preserve"> met Kamer van Koophandel nummer </w:t>
      </w:r>
      <w:r>
        <w:rPr>
          <w:rFonts w:eastAsia="Calibri" w:cs="Calibri"/>
          <w:i/>
          <w:iCs/>
          <w:sz w:val="24"/>
          <w:szCs w:val="24"/>
        </w:rPr>
        <w:t>("KvK_Hier")</w:t>
      </w:r>
      <w:r>
        <w:rPr>
          <w:rFonts w:eastAsia="Calibri" w:cs="Calibri"/>
          <w:sz w:val="24"/>
          <w:szCs w:val="24"/>
        </w:rPr>
        <w:t xml:space="preserve"> gevestigd en kantoorhoudende te </w:t>
      </w:r>
      <w:r>
        <w:rPr>
          <w:rFonts w:eastAsia="Calibri" w:cs="Calibri"/>
          <w:i/>
          <w:iCs/>
          <w:sz w:val="24"/>
          <w:szCs w:val="24"/>
        </w:rPr>
        <w:t>("PLAATS_HIER")</w:t>
      </w:r>
      <w:r>
        <w:rPr>
          <w:rFonts w:eastAsia="Calibri" w:cs="Calibri"/>
          <w:sz w:val="24"/>
          <w:szCs w:val="24"/>
        </w:rPr>
        <w:t xml:space="preserve"> aan de </w:t>
      </w:r>
      <w:r>
        <w:rPr>
          <w:rFonts w:eastAsia="Calibri" w:cs="Calibri"/>
          <w:i/>
          <w:iCs/>
          <w:sz w:val="24"/>
          <w:szCs w:val="24"/>
        </w:rPr>
        <w:t>("ADRES_HIER")</w:t>
      </w:r>
      <w:r>
        <w:rPr>
          <w:rFonts w:eastAsia="Calibri" w:cs="Calibri"/>
          <w:sz w:val="24"/>
          <w:szCs w:val="24"/>
        </w:rPr>
        <w:t xml:space="preserve"> </w:t>
      </w:r>
      <w:r>
        <w:rPr>
          <w:rFonts w:eastAsia="Calibri" w:cs="Calibri"/>
          <w:i/>
          <w:iCs/>
          <w:sz w:val="24"/>
          <w:szCs w:val="24"/>
        </w:rPr>
        <w:t>("POSTCODE_HIER")</w:t>
      </w:r>
      <w:r>
        <w:rPr>
          <w:rFonts w:eastAsia="Calibri" w:cs="Calibri"/>
          <w:sz w:val="24"/>
          <w:szCs w:val="24"/>
        </w:rPr>
        <w:t>, te dezen rechtsgeldig vertegenwoordigd door , hierna te noemen "</w:t>
      </w:r>
      <w:r>
        <w:rPr>
          <w:rFonts w:eastAsia="Calibri" w:cs="Calibri"/>
          <w:b/>
          <w:bCs/>
          <w:sz w:val="24"/>
          <w:szCs w:val="24"/>
        </w:rPr>
        <w:t>Leverancier</w:t>
      </w:r>
      <w:r>
        <w:rPr>
          <w:rFonts w:eastAsia="Calibri" w:cs="Calibri"/>
          <w:sz w:val="24"/>
          <w:szCs w:val="24"/>
        </w:rPr>
        <w:t>";</w:t>
      </w:r>
    </w:p>
    <w:p>
      <w:pPr>
        <w:pStyle w:val="Normal"/>
        <w:widowControl/>
        <w:spacing w:lineRule="auto" w:line="240" w:before="239" w:after="239"/>
        <w:jc w:val="left"/>
        <w:textAlignment w:val="top"/>
        <w:rPr/>
      </w:pPr>
      <w:r>
        <w:rPr>
          <w:rFonts w:eastAsia="Calibri" w:cs="Calibri"/>
          <w:i/>
          <w:iCs/>
          <w:sz w:val="24"/>
          <w:szCs w:val="24"/>
        </w:rPr>
        <w:t>tezamen hierna verder aan te duiden als "partijen" dan wel afzonderlijk als "partij",</w:t>
      </w:r>
    </w:p>
    <w:p>
      <w:pPr>
        <w:pStyle w:val="Normal"/>
        <w:widowControl/>
        <w:spacing w:lineRule="auto" w:line="240" w:before="239" w:after="239"/>
        <w:jc w:val="left"/>
        <w:textAlignment w:val="top"/>
        <w:rPr/>
      </w:pPr>
      <w:r>
        <w:rPr>
          <w:rFonts w:eastAsia="Calibri" w:cs="Calibri"/>
          <w:b/>
          <w:bCs/>
          <w:sz w:val="24"/>
          <w:szCs w:val="24"/>
        </w:rPr>
        <w:t>overwegende dat:</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 xml:space="preserve">Opdrachtgever in verband met hetgeen hiervoor is overwogen, tot </w:t>
      </w:r>
      <w:r>
        <w:rPr>
          <w:rFonts w:eastAsia="Calibri" w:cs="Calibri"/>
          <w:i/>
          <w:iCs/>
          <w:sz w:val="24"/>
          <w:szCs w:val="24"/>
        </w:rPr>
        <w:t>Europese aanbesteding</w:t>
      </w:r>
      <w:r>
        <w:rPr>
          <w:rFonts w:eastAsia="Calibri" w:cs="Calibri"/>
          <w:sz w:val="24"/>
          <w:szCs w:val="24"/>
        </w:rPr>
        <w:t xml:space="preserve"> van de ICT Prestatie is overgegaan;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Partijen de uit het bovenstaande voortvloeiende rechtsverhouding schriftelijk wensen vast te leggen;</w:t>
      </w:r>
    </w:p>
    <w:p>
      <w:pPr>
        <w:pStyle w:val="Normal"/>
        <w:widowControl/>
        <w:spacing w:lineRule="auto" w:line="240" w:before="239" w:after="239"/>
        <w:jc w:val="left"/>
        <w:textAlignment w:val="top"/>
        <w:rPr/>
      </w:pPr>
      <w:r>
        <w:rPr>
          <w:rFonts w:eastAsia="Calibri" w:cs="Calibri"/>
          <w:b/>
          <w:bCs/>
          <w:sz w:val="24"/>
          <w:szCs w:val="24"/>
        </w:rPr>
        <w:t>zijn als volgt overeengekomen:</w:t>
      </w:r>
    </w:p>
    <w:p>
      <w:pPr>
        <w:pStyle w:val="ArticleLevel1"/>
        <w:widowControl/>
        <w:numPr>
          <w:ilvl w:val="0"/>
          <w:numId w:val="1"/>
        </w:numPr>
        <w:spacing w:lineRule="auto" w:line="240" w:before="239" w:after="239"/>
        <w:jc w:val="left"/>
        <w:textAlignment w:val="top"/>
        <w:rPr/>
      </w:pPr>
      <w:r>
        <w:rPr>
          <w:rFonts w:eastAsia="Calibri" w:cs="Calibri"/>
          <w:sz w:val="24"/>
          <w:szCs w:val="24"/>
        </w:rPr>
        <w:t>Voorwerp van de Overeenkomst</w:t>
      </w:r>
    </w:p>
    <w:p>
      <w:pPr>
        <w:pStyle w:val="ArticleLevel2"/>
        <w:widowControl/>
        <w:numPr>
          <w:ilvl w:val="1"/>
          <w:numId w:val="1"/>
        </w:numPr>
        <w:spacing w:lineRule="auto" w:line="240" w:before="239" w:after="239"/>
        <w:jc w:val="left"/>
        <w:textAlignment w:val="top"/>
        <w:rPr/>
      </w:pPr>
      <w:r>
        <w:rPr>
          <w:rFonts w:eastAsia="Calibri" w:cs="Calibri"/>
          <w:sz w:val="24"/>
          <w:szCs w:val="24"/>
        </w:rPr>
        <w:t>Leverancier verplicht zich tot het leveren van de ICT Prestatie zoals beschreven in:</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color w:val="000000"/>
          <w:sz w:val="24"/>
          <w:szCs w:val="24"/>
        </w:rPr>
        <w:t>De Nota van Inlichtingen;</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color w:val="000000"/>
          <w:sz w:val="24"/>
          <w:szCs w:val="24"/>
        </w:rPr>
        <w:t>Het Programma van Eisen;</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color w:val="000000"/>
          <w:sz w:val="24"/>
          <w:szCs w:val="24"/>
        </w:rPr>
        <w:t>Offerteleidraad;</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color w:val="000000"/>
          <w:sz w:val="24"/>
          <w:szCs w:val="24"/>
        </w:rPr>
        <w:t>De Offerte van de Leverancier.</w:t>
      </w:r>
    </w:p>
    <w:p>
      <w:pPr>
        <w:pStyle w:val="ArticleLevel2"/>
        <w:widowControl/>
        <w:numPr>
          <w:ilvl w:val="1"/>
          <w:numId w:val="1"/>
        </w:numPr>
        <w:spacing w:lineRule="auto" w:line="240" w:before="239" w:after="239"/>
        <w:jc w:val="left"/>
        <w:textAlignment w:val="top"/>
        <w:rPr/>
      </w:pPr>
      <w:r>
        <w:rPr>
          <w:rFonts w:eastAsia="Calibri" w:cs="Calibri"/>
          <w:sz w:val="24"/>
          <w:szCs w:val="24"/>
        </w:rPr>
        <w:t>Bovengenoemde bijlagen zijn opgenomen als bijlage en reeds eerder verstrekt aan Leverancier (tijdens de aanbestedingsprocedure) en derhalve in diens bezit.</w:t>
      </w:r>
    </w:p>
    <w:p>
      <w:pPr>
        <w:pStyle w:val="ArticleLevel2"/>
        <w:widowControl/>
        <w:numPr>
          <w:ilvl w:val="1"/>
          <w:numId w:val="1"/>
        </w:numPr>
        <w:spacing w:lineRule="auto" w:line="240" w:before="239" w:after="239"/>
        <w:jc w:val="left"/>
        <w:textAlignment w:val="top"/>
        <w:rPr/>
      </w:pPr>
      <w:r>
        <w:rPr>
          <w:rFonts w:eastAsia="Calibri" w:cs="Calibri"/>
          <w:color w:val="000000"/>
          <w:sz w:val="24"/>
          <w:szCs w:val="24"/>
          <w:shd w:fill="FFFFFF" w:val="clear"/>
        </w:rPr>
        <w:t>De in het eerste lid bedoelde activiteiten zullen plaatsvinden onder de voorwaarden als beschreven in het onderhavige document en de hierin genoemde bijlagen (hierna gezamenlijk: "de Overeenkomst");</w:t>
      </w:r>
    </w:p>
    <w:p>
      <w:pPr>
        <w:pStyle w:val="ArticleLevel2"/>
        <w:widowControl/>
        <w:numPr>
          <w:ilvl w:val="1"/>
          <w:numId w:val="1"/>
        </w:numPr>
        <w:spacing w:lineRule="auto" w:line="240" w:before="239" w:after="239"/>
        <w:jc w:val="left"/>
        <w:textAlignment w:val="top"/>
        <w:rPr/>
      </w:pPr>
      <w:r>
        <w:rPr>
          <w:rFonts w:eastAsia="Calibri" w:cs="Calibri"/>
          <w:color w:val="000000"/>
          <w:sz w:val="24"/>
          <w:szCs w:val="24"/>
          <w:shd w:fill="FFFFFF" w:val="clear"/>
        </w:rPr>
        <w:t>Wijzigingen op de Overeenkomst zijn uitsluitend geldig indien Partijen deze schriftelijk zijn overeengekomen.</w:t>
      </w:r>
    </w:p>
    <w:p>
      <w:pPr>
        <w:pStyle w:val="ArticleLevel1"/>
        <w:widowControl/>
        <w:numPr>
          <w:ilvl w:val="0"/>
          <w:numId w:val="1"/>
        </w:numPr>
        <w:spacing w:lineRule="auto" w:line="240" w:before="239" w:after="239"/>
        <w:jc w:val="left"/>
        <w:textAlignment w:val="top"/>
        <w:rPr/>
      </w:pPr>
      <w:r>
        <w:rPr>
          <w:rFonts w:eastAsia="Calibri" w:cs="Calibri"/>
          <w:sz w:val="24"/>
          <w:szCs w:val="24"/>
        </w:rPr>
        <w:t>Specificaties</w:t>
      </w:r>
    </w:p>
    <w:p>
      <w:pPr>
        <w:pStyle w:val="ArticleLevel2"/>
        <w:widowControl/>
        <w:numPr>
          <w:ilvl w:val="1"/>
          <w:numId w:val="1"/>
        </w:numPr>
        <w:spacing w:lineRule="auto" w:line="240" w:before="239" w:after="239"/>
        <w:jc w:val="left"/>
        <w:textAlignment w:val="top"/>
        <w:rPr/>
      </w:pPr>
      <w:r>
        <w:rPr>
          <w:rFonts w:eastAsia="Calibri" w:cs="Calibri"/>
          <w:sz w:val="24"/>
          <w:szCs w:val="24"/>
        </w:rPr>
        <w:t>Tot het Overeengekomen gebruik behoort dat de ICT Prestatie voldoet aan hetgeen beschreven is in de in artikel 1.1. genoemde documenten.</w:t>
      </w:r>
    </w:p>
    <w:p>
      <w:pPr>
        <w:pStyle w:val="ArticleLevel1"/>
        <w:widowControl/>
        <w:numPr>
          <w:ilvl w:val="0"/>
          <w:numId w:val="1"/>
        </w:numPr>
        <w:spacing w:lineRule="auto" w:line="240" w:before="239" w:after="239"/>
        <w:jc w:val="left"/>
        <w:textAlignment w:val="top"/>
        <w:rPr/>
      </w:pPr>
      <w:r>
        <w:rPr>
          <w:rFonts w:eastAsia="Calibri" w:cs="Calibri"/>
          <w:sz w:val="24"/>
          <w:szCs w:val="24"/>
        </w:rPr>
        <w:t>Gemeentelijke ICT-Kwaliteitsnormen, Interoperabiliteitseisen, normen en standaarden</w:t>
      </w:r>
    </w:p>
    <w:p>
      <w:pPr>
        <w:pStyle w:val="ArticleLevel2"/>
        <w:widowControl/>
        <w:numPr>
          <w:ilvl w:val="1"/>
          <w:numId w:val="1"/>
        </w:numPr>
        <w:spacing w:lineRule="auto" w:line="240" w:before="239" w:after="239"/>
        <w:jc w:val="left"/>
        <w:textAlignment w:val="top"/>
        <w:rPr/>
      </w:pPr>
      <w:r>
        <w:rPr>
          <w:rFonts w:eastAsia="Calibri" w:cs="Calibri"/>
          <w:sz w:val="24"/>
          <w:szCs w:val="24"/>
        </w:rPr>
        <w:t>De ICT-Prestatie zal gedurende de looptijd van de Overeenkomst voor de volgende ICT-kwaliteitsgebieden blijven voldoen aan de Gemeentelijke ICT-Kwaliteitsnormen:</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Architectuur;</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Interoperabiliteit;</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Informatiebeveiliging en privacy;</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Dataportabiliteit;</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Toegankelijkheid;</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Archivering;</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Infrastructuur;</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Documentatie;</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E-facturering.</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Voor een specificatie van de Gemeentelijke ICT-Kwaliteitsnormen wordt verwezen naar: </w:t>
      </w:r>
      <w:hyperlink r:id="rId2">
        <w:r>
          <w:rPr>
            <w:rStyle w:val="Links"/>
            <w:rFonts w:eastAsia="Calibri" w:cs="Calibri"/>
            <w:color w:val="0000CC"/>
            <w:sz w:val="24"/>
            <w:szCs w:val="24"/>
            <w:u w:val="single" w:color="000000"/>
          </w:rPr>
          <w:t>https://vng.nl/sites/default/files/2023-07/20230717-gemeentelijke-ict-kwaliteitsnormen-v2023-1.pdf</w:t>
        </w:r>
      </w:hyperlink>
      <w:r>
        <w:rPr>
          <w:rFonts w:eastAsia="Calibri" w:cs="Calibri"/>
          <w:sz w:val="24"/>
          <w:szCs w:val="24"/>
        </w:rPr>
        <w:t>.</w:t>
      </w:r>
    </w:p>
    <w:p>
      <w:pPr>
        <w:pStyle w:val="ArticleLevel1"/>
        <w:widowControl/>
        <w:numPr>
          <w:ilvl w:val="0"/>
          <w:numId w:val="1"/>
        </w:numPr>
        <w:spacing w:lineRule="auto" w:line="240" w:before="239" w:after="239"/>
        <w:jc w:val="left"/>
        <w:textAlignment w:val="top"/>
        <w:rPr/>
      </w:pPr>
      <w:r>
        <w:rPr>
          <w:rFonts w:eastAsia="Calibri" w:cs="Calibri"/>
          <w:sz w:val="24"/>
          <w:szCs w:val="24"/>
        </w:rPr>
        <w:t>Looptijd</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De Overeenkomst treedt in werking op </w:t>
      </w:r>
      <w:r>
        <w:rPr>
          <w:rFonts w:eastAsia="Calibri" w:cs="Calibri"/>
          <w:i/>
          <w:iCs/>
          <w:sz w:val="24"/>
          <w:szCs w:val="24"/>
        </w:rPr>
        <w:t>30 april 2024</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i/>
          <w:iCs/>
          <w:sz w:val="24"/>
          <w:szCs w:val="24"/>
        </w:rPr>
        <w:t>Na afloop van de voornoemde looptijd</w:t>
      </w:r>
      <w:r>
        <w:rPr>
          <w:rFonts w:eastAsia="Calibri" w:cs="Calibri"/>
          <w:sz w:val="24"/>
          <w:szCs w:val="24"/>
        </w:rPr>
        <w:t xml:space="preserve"> </w:t>
      </w:r>
      <w:r>
        <w:rPr>
          <w:rFonts w:eastAsia="Calibri" w:cs="Calibri"/>
          <w:i/>
          <w:iCs/>
          <w:sz w:val="24"/>
          <w:szCs w:val="24"/>
        </w:rPr>
        <w:t>wordt de overeenkomst slechts op verzoek van Opdrachtgever</w:t>
      </w:r>
      <w:r>
        <w:rPr>
          <w:rFonts w:eastAsia="Calibri" w:cs="Calibri"/>
          <w:sz w:val="24"/>
          <w:szCs w:val="24"/>
        </w:rPr>
        <w:t xml:space="preserve"> </w:t>
      </w:r>
      <w:r>
        <w:rPr>
          <w:rFonts w:eastAsia="Calibri" w:cs="Calibri"/>
          <w:i/>
          <w:iCs/>
          <w:sz w:val="24"/>
          <w:szCs w:val="24"/>
        </w:rPr>
        <w:t>verlengd. Opdrachtgever geeft uiterlijk</w:t>
      </w:r>
      <w:r>
        <w:rPr>
          <w:rFonts w:eastAsia="Calibri" w:cs="Calibri"/>
          <w:sz w:val="24"/>
          <w:szCs w:val="24"/>
        </w:rPr>
        <w:t xml:space="preserve"> </w:t>
      </w:r>
      <w:r>
        <w:rPr>
          <w:rFonts w:eastAsia="Calibri" w:cs="Calibri"/>
          <w:i/>
          <w:iCs/>
          <w:sz w:val="24"/>
          <w:szCs w:val="24"/>
        </w:rPr>
        <w:t>drie (3) maanden</w:t>
      </w:r>
      <w:r>
        <w:rPr>
          <w:rFonts w:eastAsia="Calibri" w:cs="Calibri"/>
          <w:sz w:val="24"/>
          <w:szCs w:val="24"/>
        </w:rPr>
        <w:t xml:space="preserve"> </w:t>
      </w:r>
      <w:r>
        <w:rPr>
          <w:rFonts w:eastAsia="Calibri" w:cs="Calibri"/>
          <w:i/>
          <w:iCs/>
          <w:sz w:val="24"/>
          <w:szCs w:val="24"/>
        </w:rPr>
        <w:t>voor einde looptijd aan de Overeenkomst te verlengen</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Overeenkomst mag maximaal</w:t>
      </w:r>
      <w:r>
        <w:rPr>
          <w:rFonts w:eastAsia="Calibri" w:cs="Calibri"/>
          <w:sz w:val="24"/>
          <w:szCs w:val="24"/>
        </w:rPr>
        <w:t xml:space="preserve"> </w:t>
      </w:r>
      <w:r>
        <w:rPr>
          <w:rFonts w:eastAsia="Calibri" w:cs="Calibri"/>
          <w:i/>
          <w:iCs/>
          <w:sz w:val="24"/>
          <w:szCs w:val="24"/>
        </w:rPr>
        <w:t>eenmalig</w:t>
      </w:r>
      <w:r>
        <w:rPr>
          <w:rFonts w:eastAsia="Calibri" w:cs="Calibri"/>
          <w:sz w:val="24"/>
          <w:szCs w:val="24"/>
        </w:rPr>
        <w:t xml:space="preserve"> </w:t>
      </w:r>
      <w:r>
        <w:rPr>
          <w:rFonts w:eastAsia="Calibri" w:cs="Calibri"/>
          <w:i/>
          <w:iCs/>
          <w:sz w:val="24"/>
          <w:szCs w:val="24"/>
        </w:rPr>
        <w:t>worden verlengd.</w:t>
      </w:r>
      <w:r>
        <w:rPr>
          <w:rFonts w:eastAsia="Calibri" w:cs="Calibri"/>
          <w:sz w:val="24"/>
          <w:szCs w:val="24"/>
        </w:rPr>
        <w:t xml:space="preserve"> </w:t>
      </w:r>
    </w:p>
    <w:p>
      <w:pPr>
        <w:pStyle w:val="ArticleLevel2"/>
        <w:widowControl/>
        <w:numPr>
          <w:ilvl w:val="1"/>
          <w:numId w:val="1"/>
        </w:numPr>
        <w:spacing w:lineRule="auto" w:line="240" w:before="239" w:after="239"/>
        <w:jc w:val="left"/>
        <w:textAlignment w:val="top"/>
        <w:rPr/>
      </w:pPr>
      <w:r>
        <w:rPr>
          <w:rFonts w:eastAsia="Calibri" w:cs="Calibri"/>
          <w:i/>
          <w:iCs/>
          <w:sz w:val="24"/>
          <w:szCs w:val="24"/>
        </w:rPr>
        <w:t>Bij verlenging wordt de Overeenkomst verlengd met een periode</w:t>
      </w:r>
      <w:r>
        <w:rPr>
          <w:rFonts w:eastAsia="Calibri" w:cs="Calibri"/>
          <w:sz w:val="24"/>
          <w:szCs w:val="24"/>
        </w:rPr>
        <w:t xml:space="preserve"> </w:t>
      </w:r>
      <w:r>
        <w:rPr>
          <w:rFonts w:eastAsia="Calibri" w:cs="Calibri"/>
          <w:i/>
          <w:iCs/>
          <w:sz w:val="24"/>
          <w:szCs w:val="24"/>
        </w:rPr>
        <w:t>van drie (3) jaar</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looptijd van de Gebruiksrechten is</w:t>
      </w:r>
      <w:r>
        <w:rPr>
          <w:rFonts w:eastAsia="Calibri" w:cs="Calibri"/>
          <w:sz w:val="24"/>
          <w:szCs w:val="24"/>
        </w:rPr>
        <w:t xml:space="preserve"> </w:t>
      </w:r>
      <w:r>
        <w:rPr>
          <w:rFonts w:eastAsia="Calibri" w:cs="Calibri"/>
          <w:i/>
          <w:iCs/>
          <w:sz w:val="24"/>
          <w:szCs w:val="24"/>
        </w:rPr>
        <w:t>gelijk aan artikel 20.3 GIBIT 2023</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looptijd van de Dienstverlening op Afstand is</w:t>
      </w:r>
      <w:r>
        <w:rPr>
          <w:rFonts w:eastAsia="Calibri" w:cs="Calibri"/>
          <w:sz w:val="24"/>
          <w:szCs w:val="24"/>
        </w:rPr>
        <w:t xml:space="preserve"> </w:t>
      </w:r>
      <w:r>
        <w:rPr>
          <w:rFonts w:eastAsia="Calibri" w:cs="Calibri"/>
          <w:i/>
          <w:iCs/>
          <w:sz w:val="24"/>
          <w:szCs w:val="24"/>
        </w:rPr>
        <w:t>gelijk aan de looptijd van de Overeenkomst</w:t>
      </w:r>
      <w:r>
        <w:rPr>
          <w:rFonts w:eastAsia="Calibri" w:cs="Calibri"/>
          <w:sz w:val="24"/>
          <w:szCs w:val="24"/>
        </w:rPr>
        <w:t>.</w:t>
      </w:r>
    </w:p>
    <w:p>
      <w:pPr>
        <w:pStyle w:val="Normal"/>
        <w:widowControl/>
        <w:spacing w:lineRule="auto" w:line="240" w:before="239" w:after="239"/>
        <w:jc w:val="left"/>
        <w:textAlignment w:val="top"/>
        <w:rPr/>
      </w:pPr>
      <w:r>
        <w:rPr>
          <w:rFonts w:eastAsia="Calibri" w:cs="Calibri"/>
          <w:sz w:val="24"/>
          <w:szCs w:val="24"/>
        </w:rPr>
        <w:t xml:space="preserve"> </w:t>
      </w:r>
    </w:p>
    <w:p>
      <w:pPr>
        <w:pStyle w:val="ArticleLevel2"/>
        <w:widowControl/>
        <w:numPr>
          <w:ilvl w:val="1"/>
          <w:numId w:val="1"/>
        </w:numPr>
        <w:spacing w:lineRule="auto" w:line="240" w:before="239" w:after="239"/>
        <w:jc w:val="left"/>
        <w:textAlignment w:val="top"/>
        <w:rPr/>
      </w:pPr>
      <w:r>
        <w:rPr>
          <w:rFonts w:eastAsia="Calibri" w:cs="Calibri"/>
          <w:sz w:val="24"/>
          <w:szCs w:val="24"/>
        </w:rPr>
        <w:t>De volgende onderdelen van de ICT Prestatie worden voor wat betreft looptijd in ieder geval als afzonderlijke Overeenkomsten beschouwd in de zin van artikel 24.3 GIBIT 2023:</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Verwerkersovereenkomst.</w:t>
      </w:r>
    </w:p>
    <w:p>
      <w:pPr>
        <w:pStyle w:val="Normal"/>
        <w:widowControl/>
        <w:rPr/>
      </w:pPr>
      <w:r>
        <w:rPr/>
        <w:t xml:space="preserve">   </w:t>
      </w:r>
    </w:p>
    <w:p>
      <w:pPr>
        <w:pStyle w:val="ArticleLevel1"/>
        <w:widowControl/>
        <w:numPr>
          <w:ilvl w:val="0"/>
          <w:numId w:val="1"/>
        </w:numPr>
        <w:spacing w:lineRule="auto" w:line="240" w:before="239" w:after="239"/>
        <w:jc w:val="left"/>
        <w:textAlignment w:val="top"/>
        <w:rPr/>
      </w:pPr>
      <w:r>
        <w:rPr>
          <w:rFonts w:eastAsia="Calibri" w:cs="Calibri"/>
          <w:sz w:val="24"/>
          <w:szCs w:val="24"/>
        </w:rPr>
        <w:t>Onderhoud</w:t>
      </w:r>
    </w:p>
    <w:p>
      <w:pPr>
        <w:pStyle w:val="ArticleLevel2"/>
        <w:widowControl/>
        <w:numPr>
          <w:ilvl w:val="1"/>
          <w:numId w:val="1"/>
        </w:numPr>
        <w:spacing w:lineRule="auto" w:line="240" w:before="239" w:after="239"/>
        <w:jc w:val="left"/>
        <w:textAlignment w:val="top"/>
        <w:rPr/>
      </w:pPr>
      <w:r>
        <w:rPr>
          <w:rFonts w:eastAsia="Calibri" w:cs="Calibri"/>
          <w:sz w:val="24"/>
          <w:szCs w:val="24"/>
        </w:rPr>
        <w:t>Het Onderhoud wordt verricht overeenkomstig:</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i/>
          <w:iCs/>
          <w:sz w:val="24"/>
          <w:szCs w:val="24"/>
        </w:rPr>
        <w:t>In een nader op te stellen onderhoudsovereenkomst. Artikel 10 GIBIT 2023 vormt voor onvoorziene omstandigheden het vangnet.</w:t>
      </w:r>
    </w:p>
    <w:p>
      <w:pPr>
        <w:pStyle w:val="ArticleLevel2"/>
        <w:widowControl/>
        <w:numPr>
          <w:ilvl w:val="1"/>
          <w:numId w:val="1"/>
        </w:numPr>
        <w:spacing w:lineRule="auto" w:line="240" w:before="239" w:after="239"/>
        <w:jc w:val="left"/>
        <w:textAlignment w:val="top"/>
        <w:rPr/>
      </w:pPr>
      <w:r>
        <w:rPr>
          <w:rFonts w:eastAsia="Calibri" w:cs="Calibri"/>
          <w:i/>
          <w:iCs/>
          <w:sz w:val="24"/>
          <w:szCs w:val="24"/>
        </w:rPr>
        <w:t>Op verzoek van Opdrachtgever verzorgt Leverancier de Implementatie van Updates en Upgrades, tegen een nader overeen te komen vergoeding. Bij Implementatie van een Update zal</w:t>
      </w:r>
      <w:r>
        <w:rPr>
          <w:rFonts w:eastAsia="Calibri" w:cs="Calibri"/>
          <w:sz w:val="24"/>
          <w:szCs w:val="24"/>
        </w:rPr>
        <w:t xml:space="preserve"> </w:t>
      </w:r>
      <w:r>
        <w:rPr>
          <w:rFonts w:eastAsia="Calibri" w:cs="Calibri"/>
          <w:i/>
          <w:iCs/>
          <w:sz w:val="24"/>
          <w:szCs w:val="24"/>
        </w:rPr>
        <w:t>in beginsel geen</w:t>
      </w:r>
      <w:r>
        <w:rPr>
          <w:rFonts w:eastAsia="Calibri" w:cs="Calibri"/>
          <w:sz w:val="24"/>
          <w:szCs w:val="24"/>
        </w:rPr>
        <w:t xml:space="preserve"> </w:t>
      </w:r>
      <w:r>
        <w:rPr>
          <w:rFonts w:eastAsia="Calibri" w:cs="Calibri"/>
          <w:i/>
          <w:iCs/>
          <w:sz w:val="24"/>
          <w:szCs w:val="24"/>
        </w:rPr>
        <w:t>Acceptatieprocedure plaatsvinden.</w:t>
      </w:r>
    </w:p>
    <w:p>
      <w:pPr>
        <w:pStyle w:val="ArticleLevel1"/>
        <w:widowControl/>
        <w:numPr>
          <w:ilvl w:val="0"/>
          <w:numId w:val="1"/>
        </w:numPr>
        <w:spacing w:lineRule="auto" w:line="240" w:before="239" w:after="239"/>
        <w:jc w:val="left"/>
        <w:textAlignment w:val="top"/>
        <w:rPr/>
      </w:pPr>
      <w:r>
        <w:rPr>
          <w:rFonts w:eastAsia="Calibri" w:cs="Calibri"/>
          <w:sz w:val="24"/>
          <w:szCs w:val="24"/>
        </w:rPr>
        <w:t>Gebruiksrechten</w:t>
      </w:r>
    </w:p>
    <w:p>
      <w:pPr>
        <w:pStyle w:val="ArticleLevel2"/>
        <w:widowControl/>
        <w:numPr>
          <w:ilvl w:val="1"/>
          <w:numId w:val="1"/>
        </w:numPr>
        <w:spacing w:lineRule="auto" w:line="240" w:before="239" w:after="239"/>
        <w:jc w:val="left"/>
        <w:textAlignment w:val="top"/>
        <w:rPr/>
      </w:pPr>
      <w:r>
        <w:rPr>
          <w:rFonts w:eastAsia="Calibri" w:cs="Calibri"/>
          <w:sz w:val="24"/>
          <w:szCs w:val="24"/>
        </w:rPr>
        <w:t>Leverancier levert Gebruiksrechten zoals gespecificeerd in de in artikel 1.1 genoemde documenten.</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ICT Prestatie maakt gebruik van Derdenprogrammatuur welke bij Leverancier betrokken wordt, zoals nader gespecificeerd</w:t>
      </w:r>
      <w:r>
        <w:rPr>
          <w:rFonts w:eastAsia="Calibri" w:cs="Calibri"/>
          <w:sz w:val="24"/>
          <w:szCs w:val="24"/>
        </w:rPr>
        <w:t xml:space="preserve"> </w:t>
      </w:r>
      <w:r>
        <w:rPr>
          <w:rFonts w:eastAsia="Calibri" w:cs="Calibri"/>
          <w:i/>
          <w:iCs/>
          <w:sz w:val="24"/>
          <w:szCs w:val="24"/>
          <w:u w:val="single" w:color="000000"/>
        </w:rPr>
        <w:t>in de offerte van Leverancier</w:t>
      </w:r>
      <w:r>
        <w:rPr>
          <w:rFonts w:eastAsia="Calibri" w:cs="Calibri"/>
          <w:sz w:val="24"/>
          <w:szCs w:val="24"/>
        </w:rPr>
        <w:t>.</w:t>
      </w:r>
    </w:p>
    <w:p>
      <w:pPr>
        <w:pStyle w:val="ArticleLevel1"/>
        <w:widowControl/>
        <w:numPr>
          <w:ilvl w:val="0"/>
          <w:numId w:val="1"/>
        </w:numPr>
        <w:spacing w:lineRule="auto" w:line="240" w:before="239" w:after="239"/>
        <w:jc w:val="left"/>
        <w:textAlignment w:val="top"/>
        <w:rPr/>
      </w:pPr>
      <w:r>
        <w:rPr>
          <w:rFonts w:eastAsia="Calibri" w:cs="Calibri"/>
          <w:sz w:val="24"/>
          <w:szCs w:val="24"/>
        </w:rPr>
        <w:t>Dienstverlening op Afstand</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Dienstverlening op Afstand wordt geleverd zoals nader omschreven in de bijlage "(xxxxx UELA)"</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continuïteitsafspraken zijn nader gespecificeerd in</w:t>
      </w:r>
      <w:r>
        <w:rPr>
          <w:rFonts w:eastAsia="Calibri" w:cs="Calibri"/>
          <w:sz w:val="24"/>
          <w:szCs w:val="24"/>
        </w:rPr>
        <w:t xml:space="preserve"> </w:t>
      </w:r>
      <w:r>
        <w:rPr>
          <w:rFonts w:eastAsia="Calibri" w:cs="Calibri"/>
          <w:i/>
          <w:iCs/>
          <w:sz w:val="24"/>
          <w:szCs w:val="24"/>
        </w:rPr>
        <w:t>bijlage "(xxxxx continuïteitsafspraken)"</w:t>
      </w:r>
      <w:r>
        <w:rPr>
          <w:rFonts w:eastAsia="Calibri" w:cs="Calibri"/>
          <w:sz w:val="24"/>
          <w:szCs w:val="24"/>
        </w:rPr>
        <w:t>.[Nader overeen te komen op welke wijze verwezen wordt naar de TPM-verklaring art. 35 GIBIT 2023]</w:t>
      </w:r>
    </w:p>
    <w:p>
      <w:pPr>
        <w:pStyle w:val="ArticleLevel1"/>
        <w:widowControl/>
        <w:numPr>
          <w:ilvl w:val="0"/>
          <w:numId w:val="1"/>
        </w:numPr>
        <w:spacing w:lineRule="auto" w:line="240" w:before="239" w:after="239"/>
        <w:jc w:val="left"/>
        <w:textAlignment w:val="top"/>
        <w:rPr/>
      </w:pPr>
      <w:r>
        <w:rPr>
          <w:rFonts w:eastAsia="Calibri" w:cs="Calibri"/>
          <w:sz w:val="24"/>
          <w:szCs w:val="24"/>
        </w:rPr>
        <w:t>Exit-plan</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Leverancier verplicht zich reeds nu </w:t>
      </w:r>
      <w:r>
        <w:rPr>
          <w:rFonts w:eastAsia="Calibri" w:cs="Calibri"/>
          <w:b/>
          <w:bCs/>
          <w:sz w:val="24"/>
          <w:szCs w:val="24"/>
        </w:rPr>
        <w:t>uiterlijk binnen drie (3) maanden</w:t>
      </w:r>
      <w:r>
        <w:rPr>
          <w:rFonts w:eastAsia="Calibri" w:cs="Calibri"/>
          <w:sz w:val="24"/>
          <w:szCs w:val="24"/>
        </w:rPr>
        <w:t xml:space="preserve"> een exit-plan als bedoeld in artikel 26 GIBIT 2023 op te stellen. </w:t>
      </w:r>
      <w:r>
        <w:rPr>
          <w:rFonts w:eastAsia="Calibri" w:cs="Calibri"/>
          <w:i/>
          <w:iCs/>
          <w:sz w:val="24"/>
          <w:szCs w:val="24"/>
        </w:rPr>
        <w:t>Het exit-plan wordt nader uitgewerkt in</w:t>
      </w:r>
      <w:r>
        <w:rPr>
          <w:rFonts w:eastAsia="Calibri" w:cs="Calibri"/>
          <w:sz w:val="24"/>
          <w:szCs w:val="24"/>
        </w:rPr>
        <w:t xml:space="preserve"> </w:t>
      </w:r>
      <w:r>
        <w:rPr>
          <w:rFonts w:eastAsia="Calibri" w:cs="Calibri"/>
          <w:i/>
          <w:iCs/>
          <w:sz w:val="24"/>
          <w:szCs w:val="24"/>
        </w:rPr>
        <w:t>bijlage "n.n.b.</w:t>
      </w:r>
      <w:r>
        <w:rPr>
          <w:rFonts w:eastAsia="Calibri" w:cs="Calibri"/>
          <w:sz w:val="24"/>
          <w:szCs w:val="24"/>
        </w:rPr>
        <w:t>".</w:t>
      </w:r>
    </w:p>
    <w:p>
      <w:pPr>
        <w:pStyle w:val="ArticleLevel1"/>
        <w:widowControl/>
        <w:numPr>
          <w:ilvl w:val="0"/>
          <w:numId w:val="1"/>
        </w:numPr>
        <w:spacing w:lineRule="auto" w:line="240" w:before="239" w:after="239"/>
        <w:jc w:val="left"/>
        <w:textAlignment w:val="top"/>
        <w:rPr/>
      </w:pPr>
      <w:r>
        <w:rPr>
          <w:rFonts w:eastAsia="Calibri" w:cs="Calibri"/>
          <w:sz w:val="24"/>
          <w:szCs w:val="24"/>
        </w:rPr>
        <w:t>Verwerking van persoonsgegevens</w:t>
      </w:r>
    </w:p>
    <w:p>
      <w:pPr>
        <w:pStyle w:val="ArticleLevel2"/>
        <w:widowControl/>
        <w:numPr>
          <w:ilvl w:val="1"/>
          <w:numId w:val="1"/>
        </w:numPr>
        <w:spacing w:lineRule="auto" w:line="240" w:before="239" w:after="239"/>
        <w:jc w:val="left"/>
        <w:textAlignment w:val="top"/>
        <w:rPr/>
      </w:pPr>
      <w:r>
        <w:rPr>
          <w:rFonts w:eastAsia="Calibri" w:cs="Calibri"/>
          <w:sz w:val="24"/>
          <w:szCs w:val="24"/>
        </w:rPr>
        <w:t>Leverancier handelt als verwerker in de zin van de Algemene verordening gegevensbescherming.</w:t>
      </w:r>
    </w:p>
    <w:p>
      <w:pPr>
        <w:pStyle w:val="ArticleLevel2"/>
        <w:widowControl/>
        <w:numPr>
          <w:ilvl w:val="1"/>
          <w:numId w:val="1"/>
        </w:numPr>
        <w:spacing w:lineRule="auto" w:line="240" w:before="239" w:after="239"/>
        <w:jc w:val="left"/>
        <w:textAlignment w:val="top"/>
        <w:rPr/>
      </w:pPr>
      <w:r>
        <w:rPr>
          <w:rFonts w:eastAsia="Calibri" w:cs="Calibri"/>
          <w:sz w:val="24"/>
          <w:szCs w:val="24"/>
        </w:rPr>
        <w:t>De standaard Verwerkersovereenkomst is opgenomen in bijlage bijlage 8.</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pPr>
        <w:pStyle w:val="ArticleLevel2"/>
        <w:widowControl/>
        <w:numPr>
          <w:ilvl w:val="1"/>
          <w:numId w:val="1"/>
        </w:numPr>
        <w:spacing w:lineRule="auto" w:line="240" w:before="239" w:after="239"/>
        <w:jc w:val="left"/>
        <w:textAlignment w:val="top"/>
        <w:rPr/>
      </w:pPr>
      <w:r>
        <w:rPr>
          <w:rFonts w:eastAsia="Calibri" w:cs="Calibri"/>
          <w:sz w:val="24"/>
          <w:szCs w:val="24"/>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pPr>
        <w:pStyle w:val="ArticleLevel1"/>
        <w:widowControl/>
        <w:numPr>
          <w:ilvl w:val="0"/>
          <w:numId w:val="1"/>
        </w:numPr>
        <w:spacing w:lineRule="auto" w:line="240" w:before="239" w:after="239"/>
        <w:jc w:val="left"/>
        <w:textAlignment w:val="top"/>
        <w:rPr/>
      </w:pPr>
      <w:r>
        <w:rPr>
          <w:rFonts w:eastAsia="Calibri" w:cs="Calibri"/>
          <w:sz w:val="24"/>
          <w:szCs w:val="24"/>
        </w:rPr>
        <w:br/>
        <w:t>Vergoedingen</w:t>
      </w:r>
    </w:p>
    <w:p>
      <w:pPr>
        <w:pStyle w:val="ArticleLevel2"/>
        <w:widowControl/>
        <w:numPr>
          <w:ilvl w:val="1"/>
          <w:numId w:val="1"/>
        </w:numPr>
        <w:spacing w:lineRule="auto" w:line="240" w:before="239" w:after="239"/>
        <w:jc w:val="left"/>
        <w:textAlignment w:val="top"/>
        <w:rPr/>
      </w:pPr>
      <w:r>
        <w:rPr>
          <w:rFonts w:eastAsia="Calibri" w:cs="Calibri"/>
          <w:i/>
          <w:iCs/>
          <w:sz w:val="24"/>
          <w:szCs w:val="24"/>
        </w:rPr>
        <w:t>De vergoeding van het Onderhoud is nader gespecificeerd in</w:t>
      </w:r>
      <w:r>
        <w:rPr>
          <w:rFonts w:eastAsia="Calibri" w:cs="Calibri"/>
          <w:sz w:val="24"/>
          <w:szCs w:val="24"/>
        </w:rPr>
        <w:t xml:space="preserve"> </w:t>
      </w:r>
      <w:r>
        <w:rPr>
          <w:rFonts w:eastAsia="Calibri" w:cs="Calibri"/>
          <w:i/>
          <w:iCs/>
          <w:sz w:val="24"/>
          <w:szCs w:val="24"/>
        </w:rPr>
        <w:t>de offerte van Leverancier</w:t>
      </w:r>
      <w:r>
        <w:rPr>
          <w:rFonts w:eastAsia="Calibri" w:cs="Calibri"/>
          <w:sz w:val="24"/>
          <w:szCs w:val="24"/>
        </w:rPr>
        <w:t>.</w:t>
      </w:r>
    </w:p>
    <w:p>
      <w:pPr>
        <w:pStyle w:val="ArticleLevel2"/>
        <w:widowControl/>
        <w:numPr>
          <w:ilvl w:val="1"/>
          <w:numId w:val="1"/>
        </w:numPr>
        <w:spacing w:lineRule="auto" w:line="240" w:before="239" w:after="239"/>
        <w:jc w:val="left"/>
        <w:textAlignment w:val="top"/>
        <w:rPr/>
      </w:pPr>
      <w:r>
        <w:rPr>
          <w:rFonts w:eastAsia="Calibri" w:cs="Calibri"/>
          <w:sz w:val="24"/>
          <w:szCs w:val="24"/>
        </w:rPr>
        <w:t>De vergoeding voor de Gebruiksrechten is nader gespecificeerd in de offerte van Leverancier.</w:t>
      </w:r>
    </w:p>
    <w:p>
      <w:pPr>
        <w:pStyle w:val="ArticleLevel2"/>
        <w:widowControl/>
        <w:numPr>
          <w:ilvl w:val="1"/>
          <w:numId w:val="1"/>
        </w:numPr>
        <w:spacing w:lineRule="auto" w:line="240" w:before="239" w:after="239"/>
        <w:jc w:val="left"/>
        <w:textAlignment w:val="top"/>
        <w:rPr/>
      </w:pPr>
      <w:r>
        <w:rPr>
          <w:rFonts w:eastAsia="Calibri" w:cs="Calibri"/>
          <w:sz w:val="24"/>
          <w:szCs w:val="24"/>
        </w:rPr>
        <w:t>Na ingebruikname voor productieve doeleinden wordt van de vergoeding voor de Gebruiksrechten opeisbaar.</w:t>
      </w:r>
    </w:p>
    <w:p>
      <w:pPr>
        <w:pStyle w:val="ArticleLevel2"/>
        <w:widowControl/>
        <w:numPr>
          <w:ilvl w:val="1"/>
          <w:numId w:val="1"/>
        </w:numPr>
        <w:spacing w:lineRule="auto" w:line="240" w:before="239" w:after="239"/>
        <w:jc w:val="left"/>
        <w:textAlignment w:val="top"/>
        <w:rPr/>
      </w:pPr>
      <w:r>
        <w:rPr>
          <w:rFonts w:eastAsia="Calibri" w:cs="Calibri"/>
          <w:sz w:val="24"/>
          <w:szCs w:val="24"/>
        </w:rPr>
        <w:t>De vergoeding voor de Hosting-diensten is nader gespecificeerd in de offerte van Leverancier.</w:t>
      </w:r>
    </w:p>
    <w:p>
      <w:pPr>
        <w:pStyle w:val="ArticleLevel2"/>
        <w:widowControl/>
        <w:numPr>
          <w:ilvl w:val="1"/>
          <w:numId w:val="1"/>
        </w:numPr>
        <w:spacing w:lineRule="auto" w:line="240" w:before="239" w:after="239"/>
        <w:jc w:val="left"/>
        <w:textAlignment w:val="top"/>
        <w:rPr/>
      </w:pPr>
      <w:r>
        <w:rPr>
          <w:rFonts w:eastAsia="Calibri" w:cs="Calibri"/>
          <w:sz w:val="24"/>
          <w:szCs w:val="24"/>
        </w:rPr>
        <w:t>De vergoeding voor de exit-plan is nader gespecificeerd in de offerte van Leverancier.</w:t>
      </w:r>
    </w:p>
    <w:p>
      <w:pPr>
        <w:pStyle w:val="ArticleLevel2"/>
        <w:widowControl/>
        <w:numPr>
          <w:ilvl w:val="1"/>
          <w:numId w:val="1"/>
        </w:numPr>
        <w:spacing w:lineRule="auto" w:line="240" w:before="239" w:after="239"/>
        <w:jc w:val="left"/>
        <w:textAlignment w:val="top"/>
        <w:rPr/>
      </w:pPr>
      <w:r>
        <w:rPr>
          <w:rFonts w:eastAsia="Calibri" w:cs="Calibri"/>
          <w:sz w:val="24"/>
          <w:szCs w:val="24"/>
        </w:rPr>
        <w:t>Leverancier verzendt de factuur (met routenummer: ) aan Opdrachtgever elektronisch als PDF-bestand naar ( cred @ Zaanstad.nl).</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De in artikel 11.8 GIBIT 2023 benoemde index J62, althans sectie J, conform CPA 2008, van het Centraal Bureau voor de Statistiek, wordt logisch opgevolgd door index J 6202. </w:t>
      </w:r>
    </w:p>
    <w:p>
      <w:pPr>
        <w:pStyle w:val="ArticleLevel2"/>
        <w:widowControl/>
        <w:numPr>
          <w:ilvl w:val="1"/>
          <w:numId w:val="1"/>
        </w:numPr>
        <w:spacing w:lineRule="auto" w:line="240" w:before="239" w:after="239"/>
        <w:jc w:val="left"/>
        <w:textAlignment w:val="top"/>
        <w:rPr/>
      </w:pPr>
      <w:r>
        <w:rPr>
          <w:rFonts w:eastAsia="Calibri" w:cs="Calibri"/>
          <w:sz w:val="24"/>
          <w:szCs w:val="24"/>
        </w:rPr>
        <w:t>Indexeringsaankondigingen dienen te worden gezonden aan de in lid 1 van het artikel 'Contactpersonen en bevoegdheden' van de Overeenkomst bedoelde contactpersonen.</w:t>
      </w:r>
    </w:p>
    <w:p>
      <w:pPr>
        <w:pStyle w:val="ArticleLevel1"/>
        <w:widowControl/>
        <w:numPr>
          <w:ilvl w:val="0"/>
          <w:numId w:val="1"/>
        </w:numPr>
        <w:spacing w:lineRule="auto" w:line="240" w:before="239" w:after="239"/>
        <w:jc w:val="left"/>
        <w:textAlignment w:val="top"/>
        <w:rPr/>
      </w:pPr>
      <w:r>
        <w:rPr>
          <w:rFonts w:eastAsia="Calibri" w:cs="Calibri"/>
          <w:sz w:val="24"/>
          <w:szCs w:val="24"/>
        </w:rPr>
        <w:t>Contactpersonen en bevoegdheden</w:t>
      </w:r>
    </w:p>
    <w:p>
      <w:pPr>
        <w:pStyle w:val="ArticleLevel2"/>
        <w:widowControl/>
        <w:numPr>
          <w:ilvl w:val="1"/>
          <w:numId w:val="1"/>
        </w:numPr>
        <w:spacing w:lineRule="auto" w:line="240" w:before="239" w:after="239"/>
        <w:jc w:val="left"/>
        <w:textAlignment w:val="top"/>
        <w:rPr/>
      </w:pPr>
      <w:r>
        <w:rPr>
          <w:rFonts w:eastAsia="Calibri" w:cs="Calibri"/>
          <w:sz w:val="24"/>
          <w:szCs w:val="24"/>
        </w:rPr>
        <w:t>Partijen wijzen de in een bijlage gespecificeerde personen aan als contactpersoon namens hun organisatie gedurende de looptijd van de Overeenkomst.</w:t>
      </w:r>
    </w:p>
    <w:p>
      <w:pPr>
        <w:pStyle w:val="ArticleLevel2"/>
        <w:widowControl/>
        <w:numPr>
          <w:ilvl w:val="1"/>
          <w:numId w:val="1"/>
        </w:numPr>
        <w:spacing w:lineRule="auto" w:line="240" w:before="239" w:after="239"/>
        <w:jc w:val="left"/>
        <w:textAlignment w:val="top"/>
        <w:rPr/>
      </w:pPr>
      <w:r>
        <w:rPr>
          <w:rFonts w:eastAsia="Calibri" w:cs="Calibri"/>
          <w:sz w:val="24"/>
          <w:szCs w:val="24"/>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pPr>
        <w:pStyle w:val="ArticleLevel2"/>
        <w:widowControl/>
        <w:numPr>
          <w:ilvl w:val="1"/>
          <w:numId w:val="1"/>
        </w:numPr>
        <w:spacing w:lineRule="auto" w:line="240" w:before="239" w:after="239"/>
        <w:jc w:val="left"/>
        <w:textAlignment w:val="top"/>
        <w:rPr/>
      </w:pPr>
      <w:r>
        <w:rPr>
          <w:rFonts w:eastAsia="Calibri" w:cs="Calibri"/>
          <w:sz w:val="24"/>
          <w:szCs w:val="24"/>
        </w:rPr>
        <w:t>Een partij mag haar contactpersonen wijzigen middels schriftelijke mededeling aan de andere partij. De wijziging zal minimaal een week van tevoren worden gemeld, behoudens in spoedgevallen.</w:t>
      </w:r>
    </w:p>
    <w:p>
      <w:pPr>
        <w:pStyle w:val="ArticleLevel1"/>
        <w:widowControl/>
        <w:numPr>
          <w:ilvl w:val="0"/>
          <w:numId w:val="1"/>
        </w:numPr>
        <w:spacing w:lineRule="auto" w:line="240" w:before="239" w:after="239"/>
        <w:jc w:val="left"/>
        <w:textAlignment w:val="top"/>
        <w:rPr/>
      </w:pPr>
      <w:r>
        <w:rPr>
          <w:rFonts w:eastAsia="Calibri" w:cs="Calibri"/>
          <w:sz w:val="24"/>
          <w:szCs w:val="24"/>
        </w:rPr>
        <w:t>Aansprakelijkheid</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In afwijking van het bepaalde in artikel 16.3 GIBIT 2023 geldt dat de aansprakelijkheid voor persoons- en zaakschade en daaruit voortvloeiende schade, is beperkt tot een bedrag van </w:t>
      </w:r>
      <w:r>
        <w:rPr>
          <w:rFonts w:eastAsia="Calibri" w:cs="Calibri"/>
          <w:i/>
          <w:iCs/>
          <w:sz w:val="24"/>
          <w:szCs w:val="24"/>
        </w:rPr>
        <w:t>€ 0,00 per</w:t>
      </w:r>
      <w:r>
        <w:rPr>
          <w:rFonts w:eastAsia="Calibri" w:cs="Calibri"/>
          <w:sz w:val="24"/>
          <w:szCs w:val="24"/>
        </w:rPr>
        <w:t xml:space="preserve"> gebeurtenis. Samenhangende gebeurtenissen worden daarbij aangemerkt als één gebeurtenis.</w:t>
      </w:r>
    </w:p>
    <w:p>
      <w:pPr>
        <w:pStyle w:val="ArticleLevel2"/>
        <w:widowControl/>
        <w:numPr>
          <w:ilvl w:val="1"/>
          <w:numId w:val="1"/>
        </w:numPr>
        <w:spacing w:lineRule="auto" w:line="240" w:before="239" w:after="239"/>
        <w:jc w:val="left"/>
        <w:textAlignment w:val="top"/>
        <w:rPr/>
      </w:pPr>
      <w:r>
        <w:rPr>
          <w:rFonts w:eastAsia="Calibri" w:cs="Calibri"/>
          <w:sz w:val="24"/>
          <w:szCs w:val="24"/>
        </w:rPr>
        <w:t xml:space="preserve">In afwijking van het bepaalde in artikel 16.4 GIBIT 2023 geldt dat de aansprakelijkheid voor overige schade is beperkt </w:t>
      </w:r>
      <w:r>
        <w:rPr>
          <w:rFonts w:eastAsia="Calibri" w:cs="Calibri"/>
          <w:i/>
          <w:iCs/>
          <w:sz w:val="24"/>
          <w:szCs w:val="24"/>
        </w:rPr>
        <w:t>tot tweemaal de Jaarvergoeding per gebeurtenis. De totale aansprakelijkheid per jaar bedraagt evenwel nooit meer dan viermaal de Jaarvergoeding</w:t>
      </w:r>
      <w:r>
        <w:rPr>
          <w:rFonts w:eastAsia="Calibri" w:cs="Calibri"/>
          <w:sz w:val="24"/>
          <w:szCs w:val="24"/>
        </w:rPr>
        <w:t xml:space="preserve">. </w:t>
      </w:r>
      <w:r>
        <w:rPr>
          <w:rFonts w:eastAsia="Calibri" w:cs="Calibri"/>
          <w:i/>
          <w:iCs/>
          <w:sz w:val="24"/>
          <w:szCs w:val="24"/>
        </w:rPr>
        <w:t>Samenhangende gebeurtenissen worden daarbij aangemerkt als één gebeurtenis.</w:t>
      </w:r>
    </w:p>
    <w:p>
      <w:pPr>
        <w:pStyle w:val="ArticleLevel1"/>
        <w:widowControl/>
        <w:numPr>
          <w:ilvl w:val="0"/>
          <w:numId w:val="1"/>
        </w:numPr>
        <w:spacing w:lineRule="auto" w:line="240" w:before="239" w:after="239"/>
        <w:jc w:val="left"/>
        <w:textAlignment w:val="top"/>
        <w:rPr/>
      </w:pPr>
      <w:r>
        <w:rPr>
          <w:rFonts w:eastAsia="Calibri" w:cs="Calibri"/>
          <w:sz w:val="24"/>
          <w:szCs w:val="24"/>
        </w:rPr>
        <w:t>Evaluatie</w:t>
      </w:r>
    </w:p>
    <w:p>
      <w:pPr>
        <w:pStyle w:val="ArticleLevel2"/>
        <w:widowControl/>
        <w:numPr>
          <w:ilvl w:val="1"/>
          <w:numId w:val="1"/>
        </w:numPr>
        <w:spacing w:lineRule="auto" w:line="240" w:before="239" w:after="239"/>
        <w:jc w:val="left"/>
        <w:textAlignment w:val="top"/>
        <w:rPr/>
      </w:pPr>
      <w:r>
        <w:rPr>
          <w:rFonts w:eastAsia="Calibri" w:cs="Calibri"/>
          <w:sz w:val="24"/>
          <w:szCs w:val="24"/>
        </w:rPr>
        <w:t>Opdrachtgever evalueert minimaal één (1) maal per jaar de uitvoering van de opdracht en het resultaat van de ICT Prestatie. De onderwerpen van evaluatie omvatten in ieder geval en indien van toepassing:</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de kwaliteit</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de prijs </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oplevering en levertijd</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service </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nazorg </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onderhoudstermijnen </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garantie </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 xml:space="preserve">algemene ervaringen met Leverancier </w:t>
      </w:r>
    </w:p>
    <w:p>
      <w:pPr>
        <w:pStyle w:val="ArticleLevel2"/>
        <w:widowControl/>
        <w:numPr>
          <w:ilvl w:val="1"/>
          <w:numId w:val="1"/>
        </w:numPr>
        <w:spacing w:lineRule="auto" w:line="240" w:before="239" w:after="239"/>
        <w:jc w:val="left"/>
        <w:textAlignment w:val="top"/>
        <w:rPr/>
      </w:pPr>
      <w:r>
        <w:rPr>
          <w:rFonts w:eastAsia="Calibri" w:cs="Calibri"/>
          <w:sz w:val="24"/>
          <w:szCs w:val="24"/>
        </w:rPr>
        <w:t>Verder worden de tussen Partijen gesloten contractbijlagen minimaal , of op verzoek van de Partijen, geëvalueerd.</w:t>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pPr>
        <w:pStyle w:val="ArticleLevel1"/>
        <w:widowControl/>
        <w:numPr>
          <w:ilvl w:val="0"/>
          <w:numId w:val="1"/>
        </w:numPr>
        <w:spacing w:lineRule="auto" w:line="240" w:before="239" w:after="239"/>
        <w:jc w:val="left"/>
        <w:textAlignment w:val="top"/>
        <w:rPr/>
      </w:pPr>
      <w:r>
        <w:rPr>
          <w:rFonts w:eastAsia="Calibri" w:cs="Calibri"/>
          <w:sz w:val="24"/>
          <w:szCs w:val="24"/>
        </w:rPr>
        <w:t>Voorwaarden en overige afspraken</w:t>
      </w:r>
    </w:p>
    <w:p>
      <w:pPr>
        <w:pStyle w:val="ArticleLevel2"/>
        <w:widowControl/>
        <w:numPr>
          <w:ilvl w:val="1"/>
          <w:numId w:val="1"/>
        </w:numPr>
        <w:spacing w:lineRule="auto" w:line="240" w:before="239" w:after="239"/>
        <w:jc w:val="left"/>
        <w:textAlignment w:val="top"/>
        <w:rPr/>
      </w:pPr>
      <w:r>
        <w:rPr>
          <w:rFonts w:eastAsia="Calibri" w:cs="Calibri"/>
          <w:sz w:val="24"/>
          <w:szCs w:val="24"/>
        </w:rPr>
        <w:t>Op deze Overeenkomst is de GIBIT 2023 van toepassing, zoals bijgesloten als bijlage. Leverancier verklaart een exemplaar van de GIBIT 2023 te hebben ontvangen.</w:t>
      </w:r>
    </w:p>
    <w:p>
      <w:pPr>
        <w:pStyle w:val="ArticleLevel2"/>
        <w:widowControl/>
        <w:numPr>
          <w:ilvl w:val="1"/>
          <w:numId w:val="1"/>
        </w:numPr>
        <w:spacing w:lineRule="auto" w:line="240" w:before="239" w:after="239"/>
        <w:jc w:val="left"/>
        <w:textAlignment w:val="top"/>
        <w:rPr/>
      </w:pPr>
      <w:r>
        <w:rPr>
          <w:rFonts w:eastAsia="Calibri" w:cs="Calibri"/>
          <w:sz w:val="24"/>
          <w:szCs w:val="24"/>
        </w:rPr>
        <w:t>Het principe van maatschappelijk verantwoord inkopen wordt toegepast op alle aspecten van de ICT prestatie..</w:t>
      </w:r>
    </w:p>
    <w:p>
      <w:pPr>
        <w:pStyle w:val="ArticleLevel2"/>
        <w:widowControl/>
        <w:numPr>
          <w:ilvl w:val="1"/>
          <w:numId w:val="1"/>
        </w:numPr>
        <w:spacing w:lineRule="auto" w:line="240" w:before="239" w:after="239"/>
        <w:jc w:val="left"/>
        <w:textAlignment w:val="top"/>
        <w:rPr/>
      </w:pPr>
      <w:r>
        <w:rPr>
          <w:rFonts w:eastAsia="Calibri" w:cs="Calibri"/>
          <w:sz w:val="24"/>
          <w:szCs w:val="24"/>
        </w:rPr>
        <w:t>Eventuele leveringsvoorwaarden van Leverancier zijn uitdrukkelijk niet van toepassing.</w:t>
      </w:r>
    </w:p>
    <w:p>
      <w:pPr>
        <w:pStyle w:val="ArticleLevel2"/>
        <w:widowControl/>
        <w:numPr>
          <w:ilvl w:val="1"/>
          <w:numId w:val="1"/>
        </w:numPr>
        <w:spacing w:lineRule="auto" w:line="240" w:before="239" w:after="239"/>
        <w:jc w:val="left"/>
        <w:textAlignment w:val="top"/>
        <w:rPr/>
      </w:pPr>
      <w:r>
        <w:rPr>
          <w:rFonts w:eastAsia="Calibri" w:cs="Calibri"/>
          <w:sz w:val="24"/>
          <w:szCs w:val="24"/>
        </w:rPr>
        <w:t>De navolgende stukken vormen gezamenlijk de Overeenkomst. Voor zover deze stukken met elkaar in tegenspraak zijn, prevaleert het eerder genoemde stuk boven het later genoemde:</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Het onderhavige document;</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De verwerkersovereenkomst;</w:t>
      </w:r>
    </w:p>
    <w:p>
      <w:pPr>
        <w:pStyle w:val="Indentedbullets"/>
        <w:widowControl/>
        <w:numPr>
          <w:ilvl w:val="0"/>
          <w:numId w:val="3"/>
        </w:numPr>
        <w:spacing w:lineRule="auto" w:line="240" w:before="239" w:after="239"/>
        <w:ind w:hanging="352" w:left="1792"/>
        <w:contextualSpacing/>
        <w:jc w:val="left"/>
        <w:textAlignment w:val="top"/>
        <w:rPr/>
      </w:pPr>
      <w:r>
        <w:rPr>
          <w:rFonts w:eastAsia="Calibri" w:cs="Calibri"/>
          <w:sz w:val="24"/>
          <w:szCs w:val="24"/>
        </w:rPr>
        <w:t>De in artikel 1.1. genoemde documenten (in de daar genoemde volgorde).</w:t>
      </w:r>
    </w:p>
    <w:p>
      <w:pPr>
        <w:pStyle w:val="ArticleLevel2"/>
        <w:widowControl/>
        <w:numPr>
          <w:ilvl w:val="1"/>
          <w:numId w:val="1"/>
        </w:numPr>
        <w:spacing w:lineRule="auto" w:line="240" w:before="239" w:after="239"/>
        <w:jc w:val="left"/>
        <w:textAlignment w:val="top"/>
        <w:rPr/>
      </w:pPr>
      <w:r>
        <w:rPr>
          <w:rFonts w:eastAsia="Calibri" w:cs="Calibri"/>
          <w:sz w:val="24"/>
          <w:szCs w:val="24"/>
        </w:rPr>
        <w:t>In de Overeenkomst wordt een aantal begrippen met een beginhoofdletter gebruikt. Aan deze begrippen komt de betekenis toe die hieraan is gegeven in de GIBIT 2023.</w:t>
      </w:r>
    </w:p>
    <w:p>
      <w:pPr>
        <w:pStyle w:val="Normal"/>
        <w:widowControl/>
        <w:spacing w:lineRule="auto" w:line="240" w:before="239" w:after="239"/>
        <w:jc w:val="left"/>
        <w:textAlignment w:val="top"/>
        <w:rPr/>
      </w:pPr>
      <w:r>
        <w:rPr>
          <w:rFonts w:eastAsia="Calibri" w:cs="Calibri"/>
          <w:i/>
          <w:iCs/>
          <w:sz w:val="24"/>
          <w:szCs w:val="24"/>
        </w:rPr>
        <w:t>Aangezien dit een conceptovereenkomst betreft kan deze derhalve niet ondertekend worden.</w:t>
      </w:r>
    </w:p>
    <w:p>
      <w:pPr>
        <w:pStyle w:val="Normal"/>
        <w:widowControl/>
        <w:spacing w:lineRule="auto" w:line="240" w:before="239" w:after="239"/>
        <w:jc w:val="left"/>
        <w:textAlignment w:val="top"/>
        <w:rPr/>
      </w:pPr>
      <w:r>
        <w:rPr>
          <w:rFonts w:eastAsia="Calibri" w:cs="Calibri"/>
          <w:sz w:val="24"/>
          <w:szCs w:val="24"/>
        </w:rPr>
        <w:t xml:space="preserve"> </w:t>
      </w:r>
    </w:p>
    <w:p>
      <w:pPr>
        <w:pStyle w:val="Normal"/>
        <w:rPr/>
      </w:pPr>
      <w:r>
        <w:rPr/>
      </w:r>
      <w:r>
        <w:br w:type="page"/>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De Nota van Inlichtingen;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Het Programma van Eisen;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Offerteleidraad;</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De Offerte van de Leverancier;</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Contactpersonen.</w:t>
      </w:r>
    </w:p>
    <w:p>
      <w:pPr>
        <w:pStyle w:val="Normal"/>
        <w:widowControl/>
        <w:spacing w:lineRule="auto" w:line="240" w:before="239" w:after="239"/>
        <w:jc w:val="left"/>
        <w:textAlignment w:val="top"/>
        <w:rPr/>
      </w:pPr>
      <w:r>
        <w:rPr>
          <w:rFonts w:eastAsia="Calibri" w:cs="Calibri"/>
          <w:b/>
          <w:bCs/>
          <w:sz w:val="24"/>
          <w:szCs w:val="24"/>
        </w:rPr>
        <w:t>BIJLAGEN UITWERKING ASPECTEN ICT PRESTATIE</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(xxxxx UELA);</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(xxxxx continuïteitsafspraken);</w:t>
      </w:r>
    </w:p>
    <w:p>
      <w:pPr>
        <w:pStyle w:val="Normal"/>
        <w:numPr>
          <w:ilvl w:val="0"/>
          <w:numId w:val="4"/>
        </w:numPr>
        <w:spacing w:lineRule="auto" w:line="240" w:before="0" w:after="0"/>
        <w:jc w:val="left"/>
        <w:rPr>
          <w:rFonts w:ascii="Calibri" w:hAnsi="Calibri" w:eastAsia="Calibri" w:cs="Calibri"/>
          <w:sz w:val="24"/>
          <w:szCs w:val="24"/>
        </w:rPr>
      </w:pPr>
      <w:r>
        <w:rPr>
          <w:rFonts w:eastAsia="Calibri" w:cs="Calibri"/>
          <w:sz w:val="24"/>
          <w:szCs w:val="24"/>
        </w:rPr>
        <w:t>n.n.b..</w:t>
      </w:r>
    </w:p>
    <w:p>
      <w:pPr>
        <w:pStyle w:val="Normal"/>
        <w:rPr/>
      </w:pPr>
      <w:r>
        <w:rPr/>
      </w:r>
      <w:r>
        <w:br w:type="page"/>
      </w:r>
    </w:p>
    <w:p>
      <w:pPr>
        <w:pStyle w:val="Heading1"/>
        <w:widowControl/>
        <w:spacing w:lineRule="auto" w:line="240" w:before="0" w:after="161"/>
        <w:rPr/>
      </w:pPr>
      <w:r>
        <w:rPr/>
        <w:t>Bijlage contactpersonen</w:t>
      </w:r>
    </w:p>
    <w:p>
      <w:pPr>
        <w:pStyle w:val="Normal"/>
        <w:widowControl/>
        <w:spacing w:lineRule="auto" w:line="240" w:before="239" w:after="239"/>
        <w:jc w:val="left"/>
        <w:textAlignment w:val="top"/>
        <w:rPr/>
      </w:pPr>
      <w:r>
        <w:rPr>
          <w:rFonts w:eastAsia="Calibri" w:cs="Calibri"/>
          <w:b/>
          <w:bCs/>
          <w:sz w:val="24"/>
          <w:szCs w:val="24"/>
        </w:rPr>
        <w:t>Opdrachtgever</w:t>
      </w:r>
    </w:p>
    <w:tbl>
      <w:tblPr>
        <w:tblStyle w:val="NormalTablePHPDOCX"/>
        <w:tblW w:w="5000" w:type="pct"/>
        <w:jc w:val="left"/>
        <w:tblInd w:w="0" w:type="dxa"/>
        <w:tblLayout w:type="fixed"/>
        <w:tblCellMar>
          <w:top w:w="150" w:type="dxa"/>
          <w:left w:w="150" w:type="dxa"/>
          <w:bottom w:w="150" w:type="dxa"/>
          <w:right w:w="150" w:type="dxa"/>
        </w:tblCellMar>
      </w:tblPr>
      <w:tblGrid>
        <w:gridCol w:w="4512"/>
        <w:gridCol w:w="4513"/>
      </w:tblGrid>
      <w:tr>
        <w:trPr>
          <w:cantSplit w:val="true"/>
        </w:trPr>
        <w:tc>
          <w:tcPr>
            <w:tcW w:w="4512" w:type="dxa"/>
            <w:tcBorders>
              <w:top w:val="single" w:sz="4" w:space="0" w:color="7BA3DB"/>
              <w:left w:val="single" w:sz="4" w:space="0" w:color="7BA3DB"/>
              <w:bottom w:val="single" w:sz="4" w:space="0" w:color="7BA3DB"/>
              <w:right w:val="single" w:sz="4" w:space="0" w:color="7BA3DB"/>
            </w:tcBorders>
            <w:shd w:color="auto" w:fill="7BA3DB" w:val="clear"/>
            <w:vAlign w:val="bottom"/>
          </w:tcPr>
          <w:p>
            <w:pPr>
              <w:pStyle w:val="Normal"/>
              <w:widowControl/>
              <w:spacing w:before="0" w:after="0"/>
              <w:jc w:val="left"/>
              <w:rPr>
                <w:rFonts w:ascii="Calibri" w:hAnsi="Calibri" w:eastAsia="Calibri" w:cs=""/>
                <w:kern w:val="0"/>
                <w:sz w:val="24"/>
                <w:szCs w:val="24"/>
                <w:lang w:val="en-NL" w:eastAsia="en-US" w:bidi="ar-SA"/>
              </w:rPr>
            </w:pPr>
            <w:r>
              <w:rPr>
                <w:rFonts w:eastAsia="Calibri" w:cs=""/>
                <w:b/>
                <w:bCs/>
                <w:kern w:val="0"/>
                <w:sz w:val="24"/>
                <w:szCs w:val="24"/>
                <w:shd w:fill="7BA3DB" w:val="clear"/>
                <w:lang w:val="en-NL" w:eastAsia="en-US" w:bidi="ar-SA"/>
              </w:rPr>
              <w:t>Naam</w:t>
              <w:br/>
              <w:t>Telefoon</w:t>
              <w:br/>
              <w:t>E-mail</w:t>
            </w:r>
          </w:p>
        </w:tc>
        <w:tc>
          <w:tcPr>
            <w:tcW w:w="4513" w:type="dxa"/>
            <w:tcBorders>
              <w:top w:val="single" w:sz="4" w:space="0" w:color="7BA3DB"/>
              <w:left w:val="single" w:sz="4" w:space="0" w:color="7BA3DB"/>
              <w:bottom w:val="single" w:sz="4" w:space="0" w:color="7BA3DB"/>
              <w:right w:val="single" w:sz="4" w:space="0" w:color="7BA3DB"/>
            </w:tcBorders>
            <w:shd w:color="auto" w:fill="7BA3DB" w:val="clear"/>
            <w:vAlign w:val="bottom"/>
          </w:tcPr>
          <w:p>
            <w:pPr>
              <w:pStyle w:val="Normal"/>
              <w:widowControl/>
              <w:spacing w:before="0" w:after="0"/>
              <w:jc w:val="left"/>
              <w:rPr>
                <w:rFonts w:ascii="Calibri" w:hAnsi="Calibri" w:eastAsia="Calibri" w:cs=""/>
                <w:kern w:val="0"/>
                <w:sz w:val="24"/>
                <w:szCs w:val="24"/>
                <w:lang w:val="en-NL" w:eastAsia="en-US" w:bidi="ar-SA"/>
              </w:rPr>
            </w:pPr>
            <w:r>
              <w:rPr>
                <w:rFonts w:eastAsia="Calibri" w:cs=""/>
                <w:b/>
                <w:bCs/>
                <w:kern w:val="0"/>
                <w:sz w:val="24"/>
                <w:szCs w:val="24"/>
                <w:shd w:fill="7BA3DB" w:val="clear"/>
                <w:lang w:val="en-NL" w:eastAsia="en-US" w:bidi="ar-SA"/>
              </w:rPr>
              <w:t>Rolbeschrijving</w:t>
            </w:r>
          </w:p>
        </w:tc>
      </w:tr>
      <w:tr>
        <w:trPr>
          <w:cantSplit w:val="true"/>
        </w:trPr>
        <w:tc>
          <w:tcPr>
            <w:tcW w:w="4512" w:type="dxa"/>
            <w:tcBorders>
              <w:top w:val="single" w:sz="4" w:space="0" w:color="000000"/>
              <w:left w:val="single" w:sz="4" w:space="0" w:color="000000"/>
              <w:bottom w:val="single" w:sz="4" w:space="0" w:color="000000"/>
              <w:right w:val="single" w:sz="4" w:space="0" w:color="000000"/>
            </w:tcBorders>
            <w:tcMar>
              <w:left w:w="238" w:type="dxa"/>
            </w:tcMar>
          </w:tcPr>
          <w:p>
            <w:pPr>
              <w:pStyle w:val="Normal"/>
              <w:widowControl/>
              <w:spacing w:before="0" w:after="0"/>
              <w:jc w:val="left"/>
              <w:rPr>
                <w:rFonts w:ascii="Calibri" w:hAnsi="Calibri" w:eastAsia="Calibri" w:cs=""/>
                <w:kern w:val="0"/>
                <w:sz w:val="24"/>
                <w:szCs w:val="24"/>
                <w:lang w:val="en-NL" w:eastAsia="en-US" w:bidi="ar-SA"/>
              </w:rPr>
            </w:pPr>
            <w:r>
              <w:rPr>
                <w:rFonts w:eastAsia="Calibri" w:cs="Calibri"/>
                <w:i/>
                <w:iCs/>
                <w:kern w:val="0"/>
                <w:sz w:val="24"/>
                <w:szCs w:val="24"/>
                <w:lang w:val="en-NL" w:eastAsia="en-US" w:bidi="ar-SA"/>
              </w:rPr>
              <w:t>(contact personen Zaanstad)</w:t>
            </w:r>
          </w:p>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tc>
      </w:tr>
    </w:tbl>
    <w:p>
      <w:pPr>
        <w:pStyle w:val="Normal"/>
        <w:widowControl/>
        <w:spacing w:lineRule="auto" w:line="240" w:before="239" w:after="239"/>
        <w:jc w:val="left"/>
        <w:textAlignment w:val="top"/>
        <w:rPr/>
      </w:pPr>
      <w:r>
        <w:rPr>
          <w:rFonts w:eastAsia="Calibri" w:cs="Calibri"/>
          <w:b/>
          <w:bCs/>
          <w:sz w:val="24"/>
          <w:szCs w:val="24"/>
        </w:rPr>
        <w:t>Opdrachtnemer/leverancier</w:t>
      </w:r>
    </w:p>
    <w:tbl>
      <w:tblPr>
        <w:tblStyle w:val="NormalTablePHPDOCX"/>
        <w:tblW w:w="5000" w:type="pct"/>
        <w:jc w:val="left"/>
        <w:tblInd w:w="0" w:type="dxa"/>
        <w:tblLayout w:type="fixed"/>
        <w:tblCellMar>
          <w:top w:w="150" w:type="dxa"/>
          <w:left w:w="150" w:type="dxa"/>
          <w:bottom w:w="150" w:type="dxa"/>
          <w:right w:w="150" w:type="dxa"/>
        </w:tblCellMar>
      </w:tblPr>
      <w:tblGrid>
        <w:gridCol w:w="4512"/>
        <w:gridCol w:w="4513"/>
      </w:tblGrid>
      <w:tr>
        <w:trPr>
          <w:cantSplit w:val="true"/>
        </w:trPr>
        <w:tc>
          <w:tcPr>
            <w:tcW w:w="4512" w:type="dxa"/>
            <w:tcBorders>
              <w:top w:val="single" w:sz="4" w:space="0" w:color="7BA3DB"/>
              <w:left w:val="single" w:sz="4" w:space="0" w:color="7BA3DB"/>
              <w:bottom w:val="single" w:sz="4" w:space="0" w:color="7BA3DB"/>
              <w:right w:val="single" w:sz="4" w:space="0" w:color="7BA3DB"/>
            </w:tcBorders>
            <w:shd w:color="auto" w:fill="7BA3DB" w:val="clear"/>
            <w:vAlign w:val="bottom"/>
          </w:tcPr>
          <w:p>
            <w:pPr>
              <w:pStyle w:val="Normal"/>
              <w:widowControl/>
              <w:spacing w:before="0" w:after="0"/>
              <w:jc w:val="left"/>
              <w:rPr>
                <w:rFonts w:ascii="Calibri" w:hAnsi="Calibri" w:eastAsia="Calibri" w:cs=""/>
                <w:kern w:val="0"/>
                <w:sz w:val="24"/>
                <w:szCs w:val="24"/>
                <w:lang w:val="en-NL" w:eastAsia="en-US" w:bidi="ar-SA"/>
              </w:rPr>
            </w:pPr>
            <w:r>
              <w:rPr>
                <w:rFonts w:eastAsia="Calibri" w:cs=""/>
                <w:b/>
                <w:bCs/>
                <w:kern w:val="0"/>
                <w:sz w:val="24"/>
                <w:szCs w:val="24"/>
                <w:shd w:fill="7BA3DB" w:val="clear"/>
                <w:lang w:val="en-NL" w:eastAsia="en-US" w:bidi="ar-SA"/>
              </w:rPr>
              <w:t>Naam</w:t>
              <w:br/>
              <w:t>Telefoon</w:t>
              <w:br/>
              <w:t>E-mail</w:t>
            </w:r>
          </w:p>
        </w:tc>
        <w:tc>
          <w:tcPr>
            <w:tcW w:w="4513" w:type="dxa"/>
            <w:tcBorders>
              <w:top w:val="single" w:sz="4" w:space="0" w:color="7BA3DB"/>
              <w:left w:val="single" w:sz="4" w:space="0" w:color="7BA3DB"/>
              <w:bottom w:val="single" w:sz="4" w:space="0" w:color="7BA3DB"/>
              <w:right w:val="single" w:sz="4" w:space="0" w:color="7BA3DB"/>
            </w:tcBorders>
            <w:shd w:color="auto" w:fill="7BA3DB" w:val="clear"/>
            <w:vAlign w:val="bottom"/>
          </w:tcPr>
          <w:p>
            <w:pPr>
              <w:pStyle w:val="Normal"/>
              <w:widowControl/>
              <w:spacing w:before="0" w:after="0"/>
              <w:jc w:val="left"/>
              <w:rPr>
                <w:rFonts w:ascii="Calibri" w:hAnsi="Calibri" w:eastAsia="Calibri" w:cs=""/>
                <w:kern w:val="0"/>
                <w:sz w:val="24"/>
                <w:szCs w:val="24"/>
                <w:lang w:val="en-NL" w:eastAsia="en-US" w:bidi="ar-SA"/>
              </w:rPr>
            </w:pPr>
            <w:r>
              <w:rPr>
                <w:rFonts w:eastAsia="Calibri" w:cs=""/>
                <w:b/>
                <w:bCs/>
                <w:kern w:val="0"/>
                <w:sz w:val="24"/>
                <w:szCs w:val="24"/>
                <w:shd w:fill="7BA3DB" w:val="clear"/>
                <w:lang w:val="en-NL" w:eastAsia="en-US" w:bidi="ar-SA"/>
              </w:rPr>
              <w:t>Rolbeschrijving</w:t>
            </w:r>
          </w:p>
        </w:tc>
      </w:tr>
      <w:tr>
        <w:trPr>
          <w:cantSplit w:val="true"/>
        </w:trPr>
        <w:tc>
          <w:tcPr>
            <w:tcW w:w="4512" w:type="dxa"/>
            <w:tcBorders>
              <w:top w:val="single" w:sz="4" w:space="0" w:color="000000"/>
              <w:left w:val="single" w:sz="4" w:space="0" w:color="000000"/>
              <w:bottom w:val="single" w:sz="4" w:space="0" w:color="000000"/>
              <w:right w:val="single" w:sz="4" w:space="0" w:color="000000"/>
            </w:tcBorders>
            <w:tcMar>
              <w:left w:w="238" w:type="dxa"/>
            </w:tcMar>
          </w:tcPr>
          <w:p>
            <w:pPr>
              <w:pStyle w:val="Normal"/>
              <w:widowControl/>
              <w:spacing w:before="0" w:after="0"/>
              <w:jc w:val="left"/>
              <w:rPr>
                <w:rFonts w:ascii="Calibri" w:hAnsi="Calibri" w:eastAsia="Calibri" w:cs=""/>
                <w:kern w:val="0"/>
                <w:sz w:val="24"/>
                <w:szCs w:val="24"/>
                <w:lang w:val="en-NL" w:eastAsia="en-US" w:bidi="ar-SA"/>
              </w:rPr>
            </w:pPr>
            <w:r>
              <w:rPr>
                <w:rFonts w:eastAsia="Calibri" w:cs="Calibri"/>
                <w:i/>
                <w:iCs/>
                <w:kern w:val="0"/>
                <w:sz w:val="24"/>
                <w:szCs w:val="24"/>
                <w:lang w:val="en-NL" w:eastAsia="en-US" w:bidi="ar-SA"/>
              </w:rPr>
              <w:t>(contact personen Opdrachtnemer)</w:t>
            </w:r>
          </w:p>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pPr>
              <w:pStyle w:val="Normal"/>
              <w:widowControl/>
              <w:spacing w:before="0" w:after="0"/>
              <w:jc w:val="left"/>
              <w:rPr>
                <w:rFonts w:ascii="Calibri" w:hAnsi="Calibri" w:eastAsia="Calibri" w:cs=""/>
                <w:kern w:val="0"/>
                <w:sz w:val="24"/>
                <w:szCs w:val="24"/>
                <w:lang w:val="en-NL" w:eastAsia="en-US" w:bidi="ar-SA"/>
              </w:rPr>
            </w:pPr>
            <w:r>
              <w:rPr>
                <w:rFonts w:eastAsia="Calibri" w:cs=""/>
                <w:kern w:val="0"/>
                <w:sz w:val="24"/>
                <w:szCs w:val="24"/>
                <w:lang w:val="en-NL" w:eastAsia="en-US" w:bidi="ar-SA"/>
              </w:rPr>
            </w:r>
          </w:p>
        </w:tc>
      </w:tr>
    </w:tbl>
    <w:sectPr xmlns:w="http://schemas.openxmlformats.org/wordprocessingml/2006/main" xmlns:r="http://schemas.openxmlformats.org/officeDocument/2006/relationships">
      <w:footerReference w:type="default" r:id="rId3"/>
      <w:type w:val="nextPage"/>
      <w:pgSz w:w="11906" w:h="16838"/>
      <w:pgMar w:left="1440" w:right="1440" w:gutter="0" w:header="0" w:top="1440" w:footer="708" w:bottom="1440"/>
      <w:pgNumType w:fmt="decimal"/>
      <w:formProt w:val="false"/>
      <w:textDirection w:val="lrTb"/>
      <w:docGrid w:type="default" w:linePitch="360" w:charSpace="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9026"/>
        <w:tab w:val="center" w:pos="4513" w:leader="none"/>
        <w:tab w:val="right" w:pos="9020" w:leader="none"/>
      </w:tabs>
      <w:rPr/>
    </w:pPr>
    <w:r>
      <w:rPr/>
      <w:tab/>
      <w:tab/>
      <w:t>Pag</w:t>
    </w:r>
    <w:r>
      <w:rPr>
        <w:lang w:val="nl-NL"/>
      </w:rPr>
      <w:t>ina</w:t>
    </w:r>
    <w:r>
      <w:rPr/>
      <w:t xml:space="preserve"> </w:t>
    </w:r>
    <w:r>
      <w:rPr/>
      <w:fldChar w:fldCharType="begin"/>
    </w:r>
    <w:r>
      <w:rPr/>
      <w:instrText xml:space="preserve"> PAGE \* ARABIC </w:instrText>
    </w:r>
    <w:r>
      <w:rPr/>
      <w:fldChar w:fldCharType="separate"/>
    </w:r>
    <w:r>
      <w:rPr/>
      <w:t>9</w:t>
    </w:r>
    <w:r>
      <w:rPr/>
      <w:fldChar w:fldCharType="end"/>
    </w:r>
    <w:r>
      <w:rPr/>
      <w:t xml:space="preserve"> </w:t>
    </w:r>
    <w:r>
      <w:rPr>
        <w:lang w:val="nl-NL"/>
      </w:rPr>
      <w:t>van</w:t>
    </w:r>
    <w:r>
      <w:rPr/>
      <w:t xml:space="preserve"> </w:t>
    </w:r>
    <w:r>
      <w:rPr/>
      <w:fldChar w:fldCharType="begin"/>
    </w:r>
    <w:r>
      <w:rPr/>
      <w:instrText xml:space="preserve"> NUMPAGES \* ARABIC </w:instrText>
    </w:r>
    <w:r>
      <w:rPr/>
      <w:fldChar w:fldCharType="separate"/>
    </w:r>
    <w:r>
      <w:rPr/>
      <w:t>9</w:t>
    </w:r>
    <w: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20807">
    <w:multiLevelType w:val="hybridMultilevel"/>
    <w:lvl w:ilvl="0" w:tplc="85072817">
      <w:start w:val="1"/>
      <w:numFmt w:val="decimal"/>
      <w:lvlText w:val="%1."/>
      <w:lvlJc w:val="left"/>
      <w:pPr>
        <w:ind w:left="720" w:hanging="360"/>
      </w:pPr>
    </w:lvl>
    <w:lvl w:ilvl="1" w:tplc="85072817" w:tentative="1">
      <w:start w:val="1"/>
      <w:numFmt w:val="lowerLetter"/>
      <w:lvlText w:val="%2."/>
      <w:lvlJc w:val="left"/>
      <w:pPr>
        <w:ind w:left="1440" w:hanging="360"/>
      </w:pPr>
    </w:lvl>
    <w:lvl w:ilvl="2" w:tplc="85072817" w:tentative="1">
      <w:start w:val="1"/>
      <w:numFmt w:val="lowerRoman"/>
      <w:lvlText w:val="%3."/>
      <w:lvlJc w:val="right"/>
      <w:pPr>
        <w:ind w:left="2160" w:hanging="180"/>
      </w:pPr>
    </w:lvl>
    <w:lvl w:ilvl="3" w:tplc="85072817" w:tentative="1">
      <w:start w:val="1"/>
      <w:numFmt w:val="decimal"/>
      <w:lvlText w:val="%4."/>
      <w:lvlJc w:val="left"/>
      <w:pPr>
        <w:ind w:left="2880" w:hanging="360"/>
      </w:pPr>
    </w:lvl>
    <w:lvl w:ilvl="4" w:tplc="85072817" w:tentative="1">
      <w:start w:val="1"/>
      <w:numFmt w:val="lowerLetter"/>
      <w:lvlText w:val="%5."/>
      <w:lvlJc w:val="left"/>
      <w:pPr>
        <w:ind w:left="3600" w:hanging="360"/>
      </w:pPr>
    </w:lvl>
    <w:lvl w:ilvl="5" w:tplc="85072817" w:tentative="1">
      <w:start w:val="1"/>
      <w:numFmt w:val="lowerRoman"/>
      <w:lvlText w:val="%6."/>
      <w:lvlJc w:val="right"/>
      <w:pPr>
        <w:ind w:left="4320" w:hanging="180"/>
      </w:pPr>
    </w:lvl>
    <w:lvl w:ilvl="6" w:tplc="85072817" w:tentative="1">
      <w:start w:val="1"/>
      <w:numFmt w:val="decimal"/>
      <w:lvlText w:val="%7."/>
      <w:lvlJc w:val="left"/>
      <w:pPr>
        <w:ind w:left="5040" w:hanging="360"/>
      </w:pPr>
    </w:lvl>
    <w:lvl w:ilvl="7" w:tplc="85072817" w:tentative="1">
      <w:start w:val="1"/>
      <w:numFmt w:val="lowerLetter"/>
      <w:lvlText w:val="%8."/>
      <w:lvlJc w:val="left"/>
      <w:pPr>
        <w:ind w:left="5760" w:hanging="360"/>
      </w:pPr>
    </w:lvl>
    <w:lvl w:ilvl="8" w:tplc="85072817" w:tentative="1">
      <w:start w:val="1"/>
      <w:numFmt w:val="lowerRoman"/>
      <w:lvlText w:val="%9."/>
      <w:lvlJc w:val="right"/>
      <w:pPr>
        <w:ind w:left="6480" w:hanging="180"/>
      </w:pPr>
    </w:lvl>
  </w:abstractNum>
  <w:abstractNum w:abstractNumId="20806">
    <w:multiLevelType w:val="hybridMultilevel"/>
    <w:lvl w:ilvl="0" w:tplc="685793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lvl w:ilvl="0">
      <w:start w:val="1"/>
      <w:numFmt w:val="decimal"/>
      <w:lvlText w:val="Artikel %1."/>
      <w:lvlJc w:val="left"/>
      <w:pPr>
        <w:tabs>
          <w:tab w:val="num" w:pos="0"/>
        </w:tabs>
        <w:ind w:left="1440" w:hanging="1440"/>
      </w:pPr>
      <w:rPr/>
    </w:lvl>
    <w:lvl w:ilvl="1">
      <w:start w:val="1"/>
      <w:numFmt w:val="decimal"/>
      <w:lvlText w:val="%1.%2."/>
      <w:lvlJc w:val="left"/>
      <w:pPr>
        <w:tabs>
          <w:tab w:val="num" w:pos="0"/>
        </w:tabs>
        <w:ind w:left="1440" w:hanging="1440"/>
      </w:pPr>
      <w:rPr/>
    </w:lvl>
    <w:lvl w:ilvl="2">
      <w:start w:val="1"/>
      <w:numFmt w:val="decimal"/>
      <w:lvlText w:val="%1.%2.%3."/>
      <w:lvlJc w:val="left"/>
      <w:pPr>
        <w:tabs>
          <w:tab w:val="num" w:pos="0"/>
        </w:tabs>
        <w:ind w:left="1440" w:hanging="1440"/>
      </w:pPr>
      <w:rPr/>
    </w:lvl>
    <w:lvl w:ilvl="3">
      <w:start w:val="1"/>
      <w:numFmt w:val="decimal"/>
      <w:lvlText w:val="%1.%2.%3.%4"/>
      <w:lvlJc w:val="right"/>
      <w:pPr>
        <w:tabs>
          <w:tab w:val="num" w:pos="0"/>
        </w:tabs>
        <w:ind w:left="1440" w:hanging="1440"/>
      </w:pPr>
      <w:rPr/>
    </w:lvl>
    <w:lvl w:ilvl="4">
      <w:start w:val="1"/>
      <w:numFmt w:val="lowerLetter"/>
      <w:lvlText w:val="(%5)"/>
      <w:lvlJc w:val="left"/>
      <w:pPr>
        <w:tabs>
          <w:tab w:val="num" w:pos="0"/>
        </w:tabs>
        <w:ind w:left="1843" w:hanging="403"/>
      </w:pPr>
      <w:rPr/>
    </w:lvl>
    <w:lvl w:ilvl="5">
      <w:start w:val="1"/>
      <w:numFmt w:val="lowerRoman"/>
      <w:lvlText w:val="(%6)"/>
      <w:lvlJc w:val="left"/>
      <w:pPr>
        <w:tabs>
          <w:tab w:val="num" w:pos="0"/>
        </w:tabs>
        <w:ind w:left="1843" w:hanging="403"/>
      </w:pPr>
      <w:rPr/>
    </w:lvl>
    <w:lvl w:ilvl="6">
      <w:start w:val="1"/>
      <w:numFmt w:val="lowerRoman"/>
      <w:lvlText w:val="%7)"/>
      <w:lvlJc w:val="right"/>
      <w:pPr>
        <w:tabs>
          <w:tab w:val="num" w:pos="0"/>
        </w:tabs>
        <w:ind w:left="1296" w:hanging="288"/>
      </w:pPr>
      <w:rPr/>
    </w:lvl>
    <w:lvl w:ilvl="7">
      <w:start w:val="1"/>
      <w:numFmt w:val="lowerLetter"/>
      <w:lvlText w:val="%8."/>
      <w:lvlJc w:val="left"/>
      <w:pPr>
        <w:tabs>
          <w:tab w:val="num" w:pos="0"/>
        </w:tabs>
        <w:ind w:left="1440" w:hanging="432"/>
      </w:pPr>
      <w:rPr/>
    </w:lvl>
    <w:lvl w:ilvl="8">
      <w:start w:val="1"/>
      <w:numFmt w:val="lowerRoman"/>
      <w:lvlText w:val="%9."/>
      <w:lvlJc w:val="right"/>
      <w:pPr>
        <w:tabs>
          <w:tab w:val="num" w:pos="0"/>
        </w:tabs>
        <w:ind w:left="1584" w:hanging="144"/>
      </w:pPr>
      <w:rPr/>
    </w:lvl>
  </w:abstractNum>
  <w:abstractNum w:abstractNumId="2">
    <w:lvl w:ilvl="0">
      <w:start w:val="1"/>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20806">
    <w:abstractNumId w:val="20806"/>
  </w:num>
  <w:num w:numId="20807">
    <w:abstractNumId w:val="208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pPr>
      <w:widowControl/>
      <w:bidi w:val="0"/>
      <w:spacing w:lineRule="auto" w:line="288" w:before="0" w:after="0"/>
      <w:jc w:val="left"/>
    </w:pPr>
    <w:rPr>
      <w:rFonts w:ascii="Calibri" w:hAnsi="Calibri" w:eastAsia="Calibri" w:cs="" w:asciiTheme="minorHAnsi" w:cstheme="minorBidi" w:eastAsiaTheme="minorHAnsi" w:hAnsiTheme="minorHAnsi"/>
      <w:color w:val="auto"/>
      <w:kern w:val="0"/>
      <w:sz w:val="24"/>
      <w:szCs w:val="24"/>
      <w:lang w:val="en-NL" w:eastAsia="en-US" w:bidi="ar-SA"/>
    </w:rPr>
  </w:style>
  <w:style w:type="paragraph" w:styleId="Heading1">
    <w:name w:val="Heading 1"/>
    <w:basedOn w:val="Normal"/>
    <w:next w:val="Normal"/>
    <w:link w:val="Heading1Char"/>
    <w:uiPriority w:val="9"/>
    <w:qFormat/>
    <w:rsid w:val="005554e0"/>
    <w:pPr>
      <w:keepNext w:val="true"/>
      <w:keepLines/>
      <w:spacing w:before="240" w:after="0"/>
      <w:outlineLvl w:val="0"/>
    </w:pPr>
    <w:rPr>
      <w:rFonts w:eastAsia="" w:cs="" w:cstheme="majorBidi" w:eastAsiaTheme="majorEastAsia"/>
      <w:b/>
      <w:color w:themeColor="text1" w:val="000000"/>
      <w:sz w:val="70"/>
      <w:szCs w:val="32"/>
    </w:rPr>
  </w:style>
  <w:style w:type="paragraph" w:styleId="Heading2">
    <w:name w:val="Heading 2"/>
    <w:basedOn w:val="Normal"/>
    <w:next w:val="Normal"/>
    <w:link w:val="Heading2Char"/>
    <w:uiPriority w:val="9"/>
    <w:unhideWhenUsed/>
    <w:qFormat/>
    <w:rsid w:val="005554e0"/>
    <w:pPr>
      <w:keepNext w:val="true"/>
      <w:keepLines/>
      <w:spacing w:before="40" w:after="0"/>
      <w:outlineLvl w:val="1"/>
    </w:pPr>
    <w:rPr>
      <w:rFonts w:eastAsia="" w:cs="" w:cstheme="majorBidi" w:eastAsiaTheme="majorEastAsia"/>
      <w:b/>
      <w:color w:themeColor="text1" w:val="000000"/>
      <w:sz w:val="48"/>
      <w:szCs w:val="26"/>
    </w:rPr>
  </w:style>
  <w:style w:type="paragraph" w:styleId="Heading3">
    <w:name w:val="Heading 3"/>
    <w:basedOn w:val="Normal"/>
    <w:next w:val="Normal"/>
    <w:link w:val="Heading3Char"/>
    <w:uiPriority w:val="9"/>
    <w:unhideWhenUsed/>
    <w:qFormat/>
    <w:rsid w:val="005554e0"/>
    <w:pPr>
      <w:keepNext w:val="true"/>
      <w:keepLines/>
      <w:spacing w:before="40" w:after="0"/>
      <w:outlineLvl w:val="2"/>
    </w:pPr>
    <w:rPr>
      <w:rFonts w:eastAsia="" w:cs="" w:cstheme="majorBidi" w:eastAsiaTheme="majorEastAsia"/>
      <w:b/>
      <w:color w:themeColor="text1" w:val="000000"/>
      <w:sz w:val="28"/>
    </w:rPr>
  </w:style>
  <w:style w:type="paragraph" w:styleId="Heading4">
    <w:name w:val="Heading 4"/>
    <w:basedOn w:val="Normal"/>
    <w:next w:val="Normal"/>
    <w:link w:val="Heading4Char"/>
    <w:uiPriority w:val="9"/>
    <w:unhideWhenUsed/>
    <w:qFormat/>
    <w:rsid w:val="005554e0"/>
    <w:pPr>
      <w:keepNext w:val="true"/>
      <w:keepLines/>
      <w:spacing w:before="40" w:after="0"/>
      <w:outlineLvl w:val="3"/>
    </w:pPr>
    <w:rPr>
      <w:rFonts w:eastAsia="" w:cs="" w:cstheme="majorBidi" w:eastAsiaTheme="majorEastAsia"/>
      <w:b/>
      <w:iCs/>
      <w:color w:themeColor="text1" w:val="000000"/>
      <w:sz w:val="26"/>
    </w:rPr>
  </w:style>
  <w:style w:type="paragraph" w:styleId="Heading5">
    <w:name w:val="Heading 5"/>
    <w:basedOn w:val="Normal"/>
    <w:next w:val="Normal"/>
    <w:link w:val="Heading5Char"/>
    <w:uiPriority w:val="9"/>
    <w:semiHidden/>
    <w:unhideWhenUsed/>
    <w:qFormat/>
    <w:rsid w:val="005554e0"/>
    <w:pPr>
      <w:keepNext w:val="true"/>
      <w:keepLines/>
      <w:spacing w:before="40" w:after="0"/>
      <w:outlineLvl w:val="4"/>
    </w:pPr>
    <w:rPr>
      <w:rFonts w:eastAsia="" w:cs="" w:cstheme="majorBidi" w:eastAsiaTheme="majorEastAsia"/>
      <w:b/>
      <w:color w:themeColor="text1" w:val="000000"/>
    </w:rPr>
  </w:style>
  <w:style w:type="paragraph" w:styleId="Heading7">
    <w:name w:val="Heading 7"/>
    <w:basedOn w:val="Normal"/>
    <w:next w:val="Normal"/>
    <w:link w:val="Heading7Char"/>
    <w:uiPriority w:val="9"/>
    <w:semiHidden/>
    <w:unhideWhenUsed/>
    <w:qFormat/>
    <w:rsid w:val="00c80280"/>
    <w:pPr>
      <w:keepNext w:val="true"/>
      <w:keepLines/>
      <w:spacing w:before="40" w:after="0"/>
      <w:outlineLvl w:val="6"/>
    </w:pPr>
    <w:rPr>
      <w:rFonts w:ascii="Calibri Light" w:hAnsi="Calibri Light" w:eastAsia="" w:cs="" w:asciiTheme="majorHAnsi" w:cstheme="majorBidi" w:eastAsiaTheme="majorEastAsia" w:hAnsiTheme="majorHAnsi"/>
      <w:i/>
      <w:iCs/>
      <w:color w:themeColor="accent1" w:themeShade="7f" w:val="1F3763"/>
    </w:rPr>
  </w:style>
  <w:style w:type="paragraph" w:styleId="Heading8">
    <w:name w:val="Heading 8"/>
    <w:basedOn w:val="Normal"/>
    <w:next w:val="Normal"/>
    <w:link w:val="Heading8Char"/>
    <w:uiPriority w:val="9"/>
    <w:semiHidden/>
    <w:unhideWhenUsed/>
    <w:qFormat/>
    <w:rsid w:val="00c80280"/>
    <w:pPr>
      <w:keepNext w:val="true"/>
      <w:keepLines/>
      <w:spacing w:before="40" w:after="0"/>
      <w:outlineLvl w:val="7"/>
    </w:pPr>
    <w:rPr>
      <w:rFonts w:ascii="Calibri Light" w:hAnsi="Calibri Light"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Heading9Char"/>
    <w:uiPriority w:val="9"/>
    <w:semiHidden/>
    <w:unhideWhenUsed/>
    <w:qFormat/>
    <w:rsid w:val="00c80280"/>
    <w:pPr>
      <w:keepNext w:val="true"/>
      <w:keepLines/>
      <w:spacing w:before="40" w:after="0"/>
      <w:outlineLvl w:val="8"/>
    </w:pPr>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5554e0"/>
    <w:rPr>
      <w:rFonts w:eastAsia="" w:cs="" w:cstheme="majorBidi" w:eastAsiaTheme="majorEastAsia"/>
      <w:b/>
      <w:color w:themeColor="text1" w:val="000000"/>
      <w:sz w:val="70"/>
      <w:szCs w:val="32"/>
    </w:rPr>
  </w:style>
  <w:style w:type="character" w:styleId="Heading2Char" w:customStyle="1">
    <w:name w:val="Heading 2 Char"/>
    <w:basedOn w:val="DefaultParagraphFont"/>
    <w:link w:val="Heading2"/>
    <w:uiPriority w:val="9"/>
    <w:qFormat/>
    <w:rsid w:val="005554e0"/>
    <w:rPr>
      <w:rFonts w:eastAsia="" w:cs="" w:cstheme="majorBidi" w:eastAsiaTheme="majorEastAsia"/>
      <w:b/>
      <w:color w:themeColor="text1" w:val="000000"/>
      <w:sz w:val="48"/>
      <w:szCs w:val="26"/>
    </w:rPr>
  </w:style>
  <w:style w:type="character" w:styleId="TitleChar" w:customStyle="1">
    <w:name w:val="Title Char"/>
    <w:basedOn w:val="DefaultParagraphFont"/>
    <w:link w:val="Title"/>
    <w:uiPriority w:val="10"/>
    <w:qFormat/>
    <w:rsid w:val="005554e0"/>
    <w:rPr>
      <w:rFonts w:eastAsia="" w:cs="" w:cstheme="majorBidi" w:eastAsiaTheme="majorEastAsia"/>
      <w:b/>
      <w:spacing w:val="-10"/>
      <w:kern w:val="2"/>
      <w:sz w:val="70"/>
      <w:szCs w:val="56"/>
    </w:rPr>
  </w:style>
  <w:style w:type="character" w:styleId="Heading3Char" w:customStyle="1">
    <w:name w:val="Heading 3 Char"/>
    <w:basedOn w:val="DefaultParagraphFont"/>
    <w:link w:val="Heading3"/>
    <w:uiPriority w:val="9"/>
    <w:qFormat/>
    <w:rsid w:val="005554e0"/>
    <w:rPr>
      <w:rFonts w:eastAsia="" w:cs="" w:cstheme="majorBidi" w:eastAsiaTheme="majorEastAsia"/>
      <w:b/>
      <w:color w:themeColor="text1" w:val="000000"/>
      <w:sz w:val="28"/>
    </w:rPr>
  </w:style>
  <w:style w:type="character" w:styleId="Heading4Char" w:customStyle="1">
    <w:name w:val="Heading 4 Char"/>
    <w:basedOn w:val="DefaultParagraphFont"/>
    <w:link w:val="Heading4"/>
    <w:uiPriority w:val="9"/>
    <w:qFormat/>
    <w:rsid w:val="005554e0"/>
    <w:rPr>
      <w:rFonts w:eastAsia="" w:cs="" w:cstheme="majorBidi" w:eastAsiaTheme="majorEastAsia"/>
      <w:b/>
      <w:iCs/>
      <w:color w:themeColor="text1" w:val="000000"/>
      <w:sz w:val="26"/>
    </w:rPr>
  </w:style>
  <w:style w:type="character" w:styleId="Heading5Char" w:customStyle="1">
    <w:name w:val="Heading 5 Char"/>
    <w:basedOn w:val="DefaultParagraphFont"/>
    <w:link w:val="Heading5"/>
    <w:uiPriority w:val="9"/>
    <w:semiHidden/>
    <w:qFormat/>
    <w:rsid w:val="005554e0"/>
    <w:rPr>
      <w:rFonts w:eastAsia="" w:cs="" w:cstheme="majorBidi" w:eastAsiaTheme="majorEastAsia"/>
      <w:b/>
      <w:color w:themeColor="text1" w:val="000000"/>
    </w:rPr>
  </w:style>
  <w:style w:type="character" w:styleId="ArticleLevel1Char" w:customStyle="1">
    <w:name w:val="Article Level 1 Char"/>
    <w:basedOn w:val="DefaultParagraphFont"/>
    <w:link w:val="ArticleLevel1"/>
    <w:qFormat/>
    <w:rsid w:val="00e15710"/>
    <w:rPr>
      <w:b/>
      <w:bCs/>
      <w:lang w:val="nl-NL"/>
    </w:rPr>
  </w:style>
  <w:style w:type="character" w:styleId="ArticleLevel2Char" w:customStyle="1">
    <w:name w:val="Article Level 2 Char"/>
    <w:basedOn w:val="DefaultParagraphFont"/>
    <w:link w:val="ArticleLevel2"/>
    <w:qFormat/>
    <w:rsid w:val="0066162b"/>
    <w:rPr>
      <w:lang w:val="nl-NL"/>
    </w:rPr>
  </w:style>
  <w:style w:type="character" w:styleId="Hyperlink" w:customStyle="1">
    <w:name w:val="Hyperlink"/>
    <w:uiPriority w:val="99"/>
    <w:semiHidden/>
    <w:unhideWhenUsed/>
    <w:rsid w:val="006e0fda"/>
    <w:rPr/>
  </w:style>
  <w:style w:type="character" w:styleId="Links" w:customStyle="1">
    <w:name w:val="Links"/>
    <w:basedOn w:val="Hyperlink"/>
    <w:uiPriority w:val="1"/>
    <w:qFormat/>
    <w:rsid w:val="0035195f"/>
    <w:rPr>
      <w:color w:themeColor="hyperlink" w:val="0563C1"/>
      <w:u w:val="single"/>
      <w:lang w:val="nl-NL"/>
    </w:rPr>
  </w:style>
  <w:style w:type="character" w:styleId="HeaderChar" w:customStyle="1">
    <w:name w:val="Header Char"/>
    <w:basedOn w:val="DefaultParagraphFont"/>
    <w:link w:val="Header"/>
    <w:uiPriority w:val="99"/>
    <w:qFormat/>
    <w:rsid w:val="00802552"/>
    <w:rPr/>
  </w:style>
  <w:style w:type="character" w:styleId="FooterChar" w:customStyle="1">
    <w:name w:val="Footer Char"/>
    <w:basedOn w:val="DefaultParagraphFont"/>
    <w:link w:val="Footer"/>
    <w:uiPriority w:val="99"/>
    <w:qFormat/>
    <w:rsid w:val="00802552"/>
    <w:rPr>
      <w:sz w:val="22"/>
    </w:rPr>
  </w:style>
  <w:style w:type="character" w:styleId="Heading7Char" w:customStyle="1">
    <w:name w:val="Heading 7 Char"/>
    <w:basedOn w:val="DefaultParagraphFont"/>
    <w:link w:val="Heading7"/>
    <w:uiPriority w:val="9"/>
    <w:semiHidden/>
    <w:qFormat/>
    <w:rsid w:val="00670d81"/>
    <w:rPr>
      <w:rFonts w:ascii="Calibri Light" w:hAnsi="Calibri Light" w:eastAsia="" w:cs="" w:asciiTheme="majorHAnsi" w:cstheme="majorBidi" w:eastAsiaTheme="majorEastAsia" w:hAnsiTheme="majorHAnsi"/>
      <w:i/>
      <w:iCs/>
      <w:color w:themeColor="accent1" w:themeShade="7f" w:val="1F3763"/>
    </w:rPr>
  </w:style>
  <w:style w:type="character" w:styleId="Heading8Char" w:customStyle="1">
    <w:name w:val="Heading 8 Char"/>
    <w:basedOn w:val="DefaultParagraphFont"/>
    <w:link w:val="Heading8"/>
    <w:uiPriority w:val="9"/>
    <w:semiHidden/>
    <w:qFormat/>
    <w:rsid w:val="00670d81"/>
    <w:rPr>
      <w:rFonts w:ascii="Calibri Light" w:hAnsi="Calibri Light" w:eastAsia="" w:cs="" w:asciiTheme="majorHAnsi" w:cstheme="majorBidi" w:eastAsiaTheme="majorEastAsia" w:hAnsiTheme="majorHAnsi"/>
      <w:color w:themeColor="text1" w:themeTint="d8" w:val="272727"/>
      <w:sz w:val="21"/>
      <w:szCs w:val="21"/>
    </w:rPr>
  </w:style>
  <w:style w:type="character" w:styleId="Heading9Char" w:customStyle="1">
    <w:name w:val="Heading 9 Char"/>
    <w:basedOn w:val="DefaultParagraphFont"/>
    <w:link w:val="Heading9"/>
    <w:uiPriority w:val="9"/>
    <w:semiHidden/>
    <w:qFormat/>
    <w:rsid w:val="00670d81"/>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Annotationreference">
    <w:name w:val="annotation reference"/>
    <w:basedOn w:val="DefaultParagraphFont"/>
    <w:uiPriority w:val="99"/>
    <w:semiHidden/>
    <w:unhideWhenUsed/>
    <w:qFormat/>
    <w:rsid w:val="00e15710"/>
    <w:rPr>
      <w:sz w:val="16"/>
      <w:szCs w:val="16"/>
    </w:rPr>
  </w:style>
  <w:style w:type="character" w:styleId="DefaultParagraphFontPHPDOCX">
    <w:name w:val="Default Paragraph Font PHPDOCX"/>
    <w:uiPriority w:val="1"/>
    <w:semiHidden/>
    <w:unhideWhenUsed/>
    <w:qFormat/>
    <w:rPr/>
  </w:style>
  <w:style w:type="character" w:styleId="TitleCarPHPDOCX" w:customStyle="1">
    <w:name w:val="Title Car PHPDOCX"/>
    <w:basedOn w:val="DefaultParagraphFontPHPDOCX"/>
    <w:link w:val="TitlePHPDOCX"/>
    <w:uiPriority w:val="10"/>
    <w:qFormat/>
    <w:rsid w:val="00df064e"/>
    <w:rPr>
      <w:rFonts w:ascii="Calibri Light" w:hAnsi="Calibri Light" w:eastAsia="" w:cs="" w:asciiTheme="majorHAnsi" w:cstheme="majorBidi" w:eastAsiaTheme="majorEastAsia" w:hAnsiTheme="majorHAnsi"/>
      <w:color w:themeColor="text2" w:themeShade="bf" w:val="17365D"/>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Calibri Light" w:hAnsi="Calibri Light" w:eastAsia="" w:cs="" w:asciiTheme="majorHAnsi" w:cstheme="majorBidi" w:eastAsiaTheme="majorEastAsia" w:hAnsiTheme="majorHAnsi"/>
      <w:i/>
      <w:iCs/>
      <w:color w:themeColor="accent1" w:val="4F81BD"/>
      <w:spacing w:val="15"/>
      <w:sz w:val="24"/>
      <w:szCs w:val="24"/>
    </w:rPr>
  </w:style>
  <w:style w:type="character" w:styleId="AnnotationreferencePHPDOCX">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name w:val="endnote Reference PHPDOCX"/>
    <w:basedOn w:val="DefaultParagraphFontPHPDOCX"/>
    <w:uiPriority w:val="99"/>
    <w:semiHidden/>
    <w:unhideWhenUsed/>
    <w:qFormat/>
    <w:rsid w:val="006e0fda"/>
    <w:rPr>
      <w:vertAlign w:val="superscript"/>
    </w:rPr>
  </w:style>
  <w:style w:type="paragraph" w:styleId="Heading">
    <w:name w:val="Heading"/>
    <w:basedOn w:val="Normal"/>
    <w:next w:val="BodyText"/>
    <w:qFormat/>
    <w:pPr>
      <w:keepNext w:val="true"/>
      <w:spacing w:before="240" w:after="120"/>
    </w:pPr>
    <w:rPr>
      <w:rFonts w:ascii="Liberation Sans" w:hAnsi="Liberation Sans" w:eastAsia="DejaVu Sans"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Rule="auto" w:line="240" w:before="0" w:after="0"/>
      <w:contextualSpacing/>
    </w:pPr>
    <w:rPr>
      <w:rFonts w:eastAsia="" w:cs="" w:cstheme="majorBidi" w:eastAsiaTheme="majorEastAsia"/>
      <w:b/>
      <w:spacing w:val="-10"/>
      <w:kern w:val="2"/>
      <w:sz w:val="70"/>
      <w:szCs w:val="56"/>
    </w:rPr>
  </w:style>
  <w:style w:type="paragraph" w:styleId="NoSpacing">
    <w:name w:val="No Spacing"/>
    <w:uiPriority w:val="1"/>
    <w:qFormat/>
    <w:rsid w:val="00d82ea7"/>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NL" w:eastAsia="en-US" w:bidi="ar-SA"/>
    </w:rPr>
  </w:style>
  <w:style w:type="paragraph" w:styleId="ArticleLevel1" w:customStyle="1">
    <w:name w:val="Article Level 1"/>
    <w:basedOn w:val="Normal"/>
    <w:next w:val="ArticleLevel2"/>
    <w:link w:val="ArticleLevel1Char"/>
    <w:qFormat/>
    <w:rsid w:val="00e15710"/>
    <w:pPr>
      <w:numPr>
        <w:ilvl w:val="0"/>
        <w:numId w:val="1"/>
      </w:numPr>
    </w:pPr>
    <w:rPr>
      <w:b/>
      <w:bCs/>
      <w:lang w:val="nl-NL"/>
    </w:rPr>
  </w:style>
  <w:style w:type="paragraph" w:styleId="ArticleLevel2" w:customStyle="1">
    <w:name w:val="Article Level 2"/>
    <w:basedOn w:val="Normal"/>
    <w:link w:val="ArticleLevel2Char"/>
    <w:qFormat/>
    <w:rsid w:val="0066162b"/>
    <w:pPr>
      <w:numPr>
        <w:ilvl w:val="1"/>
        <w:numId w:val="1"/>
      </w:numPr>
    </w:pPr>
    <w:rPr>
      <w:lang w:val="nl-NL"/>
    </w:rPr>
  </w:style>
  <w:style w:type="paragraph" w:styleId="ListParagraph">
    <w:name w:val="List Paragraph"/>
    <w:basedOn w:val="Normal"/>
    <w:uiPriority w:val="34"/>
    <w:qFormat/>
    <w:rsid w:val="0016304c"/>
    <w:pPr>
      <w:spacing w:before="0" w:after="0"/>
      <w:ind w:left="720"/>
      <w:contextualSpacing/>
    </w:pPr>
    <w:rPr/>
  </w:style>
  <w:style w:type="paragraph" w:styleId="ArticleLevel3" w:customStyle="1">
    <w:name w:val="Article Level 3"/>
    <w:basedOn w:val="Normal"/>
    <w:next w:val="ArticleLevel4"/>
    <w:qFormat/>
    <w:rsid w:val="00bd33f6"/>
    <w:pPr>
      <w:numPr>
        <w:ilvl w:val="2"/>
        <w:numId w:val="1"/>
      </w:numPr>
    </w:pPr>
    <w:rPr>
      <w:lang w:val="nl-NL"/>
    </w:rPr>
  </w:style>
  <w:style w:type="paragraph" w:styleId="ArticleLevel4" w:customStyle="1">
    <w:name w:val="Article Level 4"/>
    <w:basedOn w:val="Normal"/>
    <w:qFormat/>
    <w:rsid w:val="00c80280"/>
    <w:pPr>
      <w:numPr>
        <w:ilvl w:val="3"/>
        <w:numId w:val="1"/>
      </w:numPr>
    </w:pPr>
    <w:rPr>
      <w:lang w:val="nl-NL"/>
    </w:rPr>
  </w:style>
  <w:style w:type="paragraph" w:styleId="ArticleLevel5" w:customStyle="1">
    <w:name w:val="Article Level 5"/>
    <w:basedOn w:val="Normal"/>
    <w:qFormat/>
    <w:rsid w:val="00c80280"/>
    <w:pPr>
      <w:numPr>
        <w:ilvl w:val="4"/>
        <w:numId w:val="1"/>
      </w:numPr>
    </w:pPr>
    <w:rPr>
      <w:lang w:val="nl-NL"/>
    </w:rPr>
  </w:style>
  <w:style w:type="paragraph" w:styleId="ArticleLevel6" w:customStyle="1">
    <w:name w:val="Article Level 6"/>
    <w:basedOn w:val="Normal"/>
    <w:qFormat/>
    <w:rsid w:val="00c80280"/>
    <w:pPr>
      <w:numPr>
        <w:ilvl w:val="5"/>
        <w:numId w:val="1"/>
      </w:numPr>
      <w:tabs>
        <w:tab w:val="clear" w:pos="720"/>
        <w:tab w:val="left" w:pos="851" w:leader="none"/>
      </w:tabs>
    </w:pPr>
    <w:rPr>
      <w:lang w:val="nl-NL"/>
    </w:rPr>
  </w:style>
  <w:style w:type="paragraph" w:styleId="HeaderandFooter">
    <w:name w:val="Header and Footer"/>
    <w:basedOn w:val="Normal"/>
    <w:qFormat/>
    <w:pPr/>
    <w:rPr/>
  </w:style>
  <w:style w:type="paragraph" w:styleId="Header">
    <w:name w:val="Header"/>
    <w:basedOn w:val="Normal"/>
    <w:link w:val="HeaderChar"/>
    <w:uiPriority w:val="99"/>
    <w:unhideWhenUsed/>
    <w:rsid w:val="00802552"/>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802552"/>
    <w:pPr>
      <w:tabs>
        <w:tab w:val="clear" w:pos="720"/>
        <w:tab w:val="center" w:pos="4513" w:leader="none"/>
        <w:tab w:val="right" w:pos="9026" w:leader="none"/>
      </w:tabs>
      <w:spacing w:lineRule="auto" w:line="240"/>
    </w:pPr>
    <w:rPr>
      <w:sz w:val="22"/>
    </w:rPr>
  </w:style>
  <w:style w:type="paragraph" w:styleId="Numberedheading1" w:customStyle="1">
    <w:name w:val="Numbered heading 1"/>
    <w:basedOn w:val="ArticleLevel1"/>
    <w:qFormat/>
    <w:rsid w:val="00ee7197"/>
    <w:pPr>
      <w:numPr>
        <w:ilvl w:val="0"/>
        <w:numId w:val="2"/>
      </w:numPr>
    </w:pPr>
    <w:rPr/>
  </w:style>
  <w:style w:type="paragraph" w:styleId="Numberedheading2" w:customStyle="1">
    <w:name w:val="Numbered heading 2"/>
    <w:basedOn w:val="Numberedheading1"/>
    <w:qFormat/>
    <w:rsid w:val="00ee7197"/>
    <w:pPr>
      <w:ind w:hanging="1418" w:left="1418"/>
    </w:pPr>
    <w:rPr>
      <w:b w:val="false"/>
    </w:rPr>
  </w:style>
  <w:style w:type="paragraph" w:styleId="Numberedheading3" w:customStyle="1">
    <w:name w:val="Numbered heading 3"/>
    <w:basedOn w:val="Numberedheading2"/>
    <w:qFormat/>
    <w:rsid w:val="001f3caf"/>
    <w:pPr>
      <w:ind w:hanging="1418" w:left="1418"/>
    </w:pPr>
    <w:rPr/>
  </w:style>
  <w:style w:type="paragraph" w:styleId="Numberedheading4" w:customStyle="1">
    <w:name w:val="Numbered heading 4"/>
    <w:basedOn w:val="Numberedheading3"/>
    <w:qFormat/>
    <w:rsid w:val="001f3caf"/>
    <w:pPr>
      <w:ind w:hanging="1418" w:left="1418"/>
    </w:pPr>
    <w:rPr/>
  </w:style>
  <w:style w:type="paragraph" w:styleId="Indentedbullets" w:customStyle="1">
    <w:name w:val="Indented bullets"/>
    <w:basedOn w:val="Normal"/>
    <w:qFormat/>
    <w:rsid w:val="00e15710"/>
    <w:pPr>
      <w:numPr>
        <w:ilvl w:val="0"/>
        <w:numId w:val="3"/>
      </w:numPr>
      <w:suppressAutoHyphens w:val="true"/>
      <w:spacing w:before="0" w:after="0"/>
      <w:ind w:hanging="352" w:left="1792"/>
      <w:contextualSpacing/>
    </w:pPr>
    <w:rPr>
      <w:lang w:val="nl-NL"/>
    </w:rPr>
  </w:style>
  <w:style w:type="paragraph" w:styleId="ListParagraphPHPDOCX">
    <w:name w:val="List Paragraph PHPDOCX"/>
    <w:basedOn w:val="Normal"/>
    <w:uiPriority w:val="34"/>
    <w:qFormat/>
    <w:rsid w:val="00df064e"/>
    <w:pPr>
      <w:spacing w:before="0" w:after="0"/>
      <w:ind w:left="720"/>
      <w:contextualSpacing/>
    </w:pPr>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lineRule="auto" w:line="240" w:before="0" w:after="300"/>
      <w:contextualSpacing/>
    </w:pPr>
    <w:rPr>
      <w:rFonts w:ascii="Calibri Light" w:hAnsi="Calibri Light" w:eastAsia="" w:cs="" w:asciiTheme="majorHAnsi" w:cstheme="majorBidi" w:eastAsiaTheme="majorEastAsia" w:hAnsiTheme="majorHAnsi"/>
      <w:color w:themeColor="text2" w:themeShade="bf" w:val="17365D"/>
      <w:spacing w:val="5"/>
      <w:kern w:val="2"/>
      <w:sz w:val="52"/>
      <w:szCs w:val="52"/>
    </w:rPr>
  </w:style>
  <w:style w:type="paragraph" w:styleId="SubtitlePHPDOCX">
    <w:name w:val="Subtitle PHPDOCX"/>
    <w:basedOn w:val="Normal"/>
    <w:next w:val="Normal"/>
    <w:link w:val="SubtitleCarPHPDOCX"/>
    <w:uiPriority w:val="11"/>
    <w:qFormat/>
    <w:rsid w:val="00df064e"/>
    <w:pPr/>
    <w:rPr>
      <w:rFonts w:ascii="Calibri Light" w:hAnsi="Calibri Light" w:eastAsia="" w:cs="" w:asciiTheme="majorHAnsi" w:cstheme="majorBidi" w:eastAsiaTheme="majorEastAsia" w:hAnsiTheme="majorHAnsi"/>
      <w:i/>
      <w:iCs/>
      <w:color w:themeColor="accent1" w:val="4F81BD"/>
      <w:spacing w:val="15"/>
      <w:sz w:val="24"/>
      <w:szCs w:val="24"/>
    </w:rPr>
  </w:style>
  <w:style w:type="paragraph" w:styleId="AnnotationtextPHPDOCX">
    <w:name w:val="annotation text PHPDOCX"/>
    <w:basedOn w:val="Normal"/>
    <w:link w:val="CommentTextCharPHPDOCX"/>
    <w:uiPriority w:val="99"/>
    <w:semiHidden/>
    <w:unhideWhenUsed/>
    <w:qFormat/>
    <w:rsid w:val="00e139ea"/>
    <w:pPr>
      <w:spacing w:lineRule="auto" w:line="240"/>
    </w:pPr>
    <w:rPr>
      <w:sz w:val="20"/>
      <w:szCs w:val="20"/>
    </w:rPr>
  </w:style>
  <w:style w:type="paragraph" w:styleId="AnnotationsubjectPHPDOCX">
    <w:name w:val="annotation subject PHPDOCX"/>
    <w:basedOn w:val="AnnotationtextPHPDOCX"/>
    <w:next w:val="AnnotationtextPHPDOCX"/>
    <w:link w:val="CommentSubjectCharPHPDOCX"/>
    <w:uiPriority w:val="99"/>
    <w:semiHidden/>
    <w:unhideWhenUsed/>
    <w:qFormat/>
    <w:rsid w:val="00e139ea"/>
    <w:pPr/>
    <w:rPr>
      <w:b/>
      <w:bCs/>
    </w:rPr>
  </w:style>
  <w:style w:type="paragraph" w:styleId="BalloonTextPHPDOCX">
    <w:name w:val="Balloon Text PHPDOCX"/>
    <w:basedOn w:val="Normal"/>
    <w:link w:val="BalloonTextCharPHPDOCX"/>
    <w:uiPriority w:val="99"/>
    <w:semiHidden/>
    <w:unhideWhenUsed/>
    <w:qFormat/>
    <w:rsid w:val="00e139ea"/>
    <w:pPr>
      <w:spacing w:lineRule="auto" w:line="240" w:before="0" w:after="0"/>
    </w:pPr>
    <w:rPr>
      <w:rFonts w:ascii="Tahoma" w:hAnsi="Tahoma" w:cs="Tahoma"/>
      <w:sz w:val="16"/>
      <w:szCs w:val="16"/>
    </w:rPr>
  </w:style>
  <w:style w:type="paragraph" w:styleId="FootnoteTextPHPDOCX">
    <w:name w:val="footnote Text PHPDOCX"/>
    <w:basedOn w:val="Normal"/>
    <w:link w:val="FootnoteTextCarPHPDOCX"/>
    <w:uiPriority w:val="99"/>
    <w:semiHidden/>
    <w:unhideWhenUsed/>
    <w:qFormat/>
    <w:rsid w:val="006e0fda"/>
    <w:pPr>
      <w:spacing w:lineRule="auto" w:line="240" w:before="0" w:after="0"/>
    </w:pPr>
    <w:rPr>
      <w:sz w:val="20"/>
      <w:szCs w:val="20"/>
    </w:rPr>
  </w:style>
  <w:style w:type="paragraph" w:styleId="EndnoteTextPHPDOCX">
    <w:name w:val="endnote Text PHPDOCX"/>
    <w:basedOn w:val="Normal"/>
    <w:link w:val="EndnoteTextCarPHPDOCX"/>
    <w:uiPriority w:val="99"/>
    <w:semiHidden/>
    <w:unhideWhenUsed/>
    <w:qFormat/>
    <w:rsid w:val="006e0fda"/>
    <w:pPr>
      <w:spacing w:lineRule="auto" w:line="240" w:before="0" w:after="0"/>
    </w:pPr>
    <w:rPr>
      <w:sz w:val="20"/>
      <w:szCs w:val="20"/>
    </w:rPr>
  </w:style>
  <w:style w:type="numbering" w:styleId="NoList" w:default="1">
    <w:name w:val="No List"/>
    <w:uiPriority w:val="99"/>
    <w:semiHidden/>
    <w:unhideWhenUsed/>
    <w:qFormat/>
  </w:style>
  <w:style w:type="numbering" w:styleId="JuriBloxArticlesLevels" w:customStyle="1">
    <w:name w:val="JuriBloxArticlesLevels"/>
    <w:uiPriority w:val="99"/>
    <w:qFormat/>
    <w:rsid w:val="00ee7197"/>
  </w:style>
  <w:style w:type="numbering" w:styleId="JuriBloxNumberedHeadings" w:customStyle="1">
    <w:name w:val="JuriBloxNumberedHeadings"/>
    <w:uiPriority w:val="99"/>
    <w:qFormat/>
    <w:rsid w:val="00ee7197"/>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name w:val="Normal Table PHPDOCX"/>
    <w:uiPriority w:val="99"/>
    <w:semiHidden/>
    <w:unhideWhenUsed/>
    <w:qFormat/>
    <w:pPr>
      <w:spacing w:after="0" w:line="240" w:lineRule="auto"/>
    </w:pPr>
    <w:tblPr>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ng.nl/sites/default/files/2023-07/20230717-gemeentelijke-ict-kwaliteitsnormen-v2023-1.pdf"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 Id="rId461253370" Type="http://schemas.openxmlformats.org/officeDocument/2006/relationships/footnotes" Target="footnotes.xml"/><Relationship Id="rId325083102" Type="http://schemas.openxmlformats.org/officeDocument/2006/relationships/endnotes" Target="endnotes.xml"/><Relationship Id="rId590352732" Type="http://schemas.openxmlformats.org/officeDocument/2006/relationships/comments" Target="comments.xml"/><Relationship Id="rId225576282" Type="http://schemas.microsoft.com/office/2011/relationships/commentsExtended" Target="commentsExtended.xml"/><Relationship Id="rId411355719" Type="http://schemas.microsoft.com/office/2011/relationships/people" Target="people.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52</TotalTime>
  <Application>LibreOffice/7.6.4.1$Linux_X86_64 LibreOffice_project/60$Build-1</Application>
  <AppVersion>15.0000</AppVersion>
  <Pages>7</Pages>
  <Words>1735</Words>
  <Characters>10692</Characters>
  <CharactersWithSpaces>12218</CharactersWithSpaces>
  <Paragraphs>132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2020-11-26T07:22:00Z</dcterms:created>
  <dc:creator/>
  <dc:description/>
  <dc:language>en-US</dc:language>
  <cp:lastModifiedBy/>
  <dcterms:modified xsi:type="dcterms:W3CDTF">2024-02-14T12:07:04Z</dcterms:modified>
  <cp:revision>8</cp:revision>
  <dc:subject/>
  <dc:title>Overeenkomst ten behoeve van ICT Prestatie GIBIT 2023 [99]</dc:title>
</cp:coreProperties>
</file>

<file path=docProps/custom.xml><?xml version="1.0" encoding="utf-8"?>
<Properties xmlns="http://schemas.openxmlformats.org/officeDocument/2006/custom-properties" xmlns:vt="http://schemas.openxmlformats.org/officeDocument/2006/docPropsVTypes"/>
</file>