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EADF5" w14:textId="287FD877" w:rsidR="00117CFA" w:rsidRDefault="00117CFA">
      <w:pPr>
        <w:rPr>
          <w:sz w:val="20"/>
          <w:szCs w:val="20"/>
        </w:rPr>
      </w:pPr>
    </w:p>
    <w:p w14:paraId="234A138D" w14:textId="55B0DE7C" w:rsidR="009815C6" w:rsidRPr="009815C6" w:rsidRDefault="009815C6">
      <w:pPr>
        <w:rPr>
          <w:b/>
          <w:bCs/>
          <w:sz w:val="20"/>
          <w:szCs w:val="20"/>
        </w:rPr>
      </w:pPr>
      <w:r w:rsidRPr="009815C6">
        <w:rPr>
          <w:b/>
          <w:bCs/>
          <w:sz w:val="20"/>
          <w:szCs w:val="20"/>
        </w:rPr>
        <w:t xml:space="preserve">Nota van inlichtingen </w:t>
      </w:r>
      <w:r w:rsidR="002E3285">
        <w:rPr>
          <w:b/>
          <w:bCs/>
          <w:sz w:val="20"/>
          <w:szCs w:val="20"/>
        </w:rPr>
        <w:t>1</w:t>
      </w:r>
    </w:p>
    <w:p w14:paraId="1A5EE8DD" w14:textId="185DAE85" w:rsidR="009815C6" w:rsidRPr="009815C6" w:rsidRDefault="009815C6">
      <w:pPr>
        <w:rPr>
          <w:b/>
          <w:bCs/>
          <w:sz w:val="20"/>
          <w:szCs w:val="20"/>
        </w:rPr>
      </w:pPr>
      <w:r w:rsidRPr="009815C6">
        <w:rPr>
          <w:b/>
          <w:bCs/>
          <w:sz w:val="20"/>
          <w:szCs w:val="20"/>
        </w:rPr>
        <w:t>Inkoopprocedure DAB+ laag 6</w:t>
      </w:r>
    </w:p>
    <w:p w14:paraId="6CF4C123" w14:textId="77777777" w:rsidR="009815C6" w:rsidRPr="009815C6" w:rsidRDefault="009815C6">
      <w:pPr>
        <w:rPr>
          <w:b/>
          <w:bCs/>
          <w:sz w:val="20"/>
          <w:szCs w:val="20"/>
        </w:rPr>
      </w:pPr>
    </w:p>
    <w:p w14:paraId="61AD6F23" w14:textId="1052EB60" w:rsidR="009815C6" w:rsidRDefault="009815C6">
      <w:pPr>
        <w:rPr>
          <w:b/>
          <w:bCs/>
          <w:sz w:val="20"/>
          <w:szCs w:val="20"/>
        </w:rPr>
      </w:pPr>
      <w:r w:rsidRPr="009815C6">
        <w:rPr>
          <w:b/>
          <w:bCs/>
          <w:sz w:val="20"/>
          <w:szCs w:val="20"/>
        </w:rPr>
        <w:t>Algemeen</w:t>
      </w:r>
      <w:r>
        <w:rPr>
          <w:b/>
          <w:bCs/>
          <w:sz w:val="20"/>
          <w:szCs w:val="20"/>
        </w:rPr>
        <w:t>:</w:t>
      </w:r>
    </w:p>
    <w:p w14:paraId="55D1DABF" w14:textId="20F97460" w:rsidR="009815C6" w:rsidRPr="009815C6" w:rsidRDefault="009815C6">
      <w:pPr>
        <w:rPr>
          <w:sz w:val="20"/>
          <w:szCs w:val="20"/>
        </w:rPr>
      </w:pPr>
      <w:r w:rsidRPr="009815C6">
        <w:rPr>
          <w:sz w:val="20"/>
          <w:szCs w:val="20"/>
        </w:rPr>
        <w:t xml:space="preserve">Hierbij ontvangt u de nota van inlichtingen </w:t>
      </w:r>
      <w:r w:rsidR="002E3285">
        <w:rPr>
          <w:sz w:val="20"/>
          <w:szCs w:val="20"/>
        </w:rPr>
        <w:t>1</w:t>
      </w:r>
      <w:r w:rsidRPr="009815C6">
        <w:rPr>
          <w:sz w:val="20"/>
          <w:szCs w:val="20"/>
        </w:rPr>
        <w:t xml:space="preserve"> voor het inkoopproces DAB+ laag 6. In de beantwoording verwijst NLPO naar aangepaste documenten: VTO, Vraagspecificatie, prijzenblad en concept – raamovereenkomst. Deze documenten worden aangepast en deze documenten worden woensdag 17 juni as gepubliceerd aan het eind van de middag. </w:t>
      </w:r>
      <w:r w:rsidR="00F64A65">
        <w:rPr>
          <w:sz w:val="20"/>
          <w:szCs w:val="20"/>
        </w:rPr>
        <w:t>Omdat in deze beantwoording een aantal zaken wordt geadresseerd die bij de toelichting op 26 juni 2024 zijn gesignaleerd door de netwerkoperators, hecht NLPO eraan om de beantwoording te publiceren zonder de aangepaste documenten.</w:t>
      </w:r>
    </w:p>
    <w:p w14:paraId="7708463E" w14:textId="3E5EB77E" w:rsidR="009815C6" w:rsidRPr="009815C6" w:rsidRDefault="009815C6">
      <w:pPr>
        <w:rPr>
          <w:b/>
          <w:bCs/>
          <w:sz w:val="20"/>
          <w:szCs w:val="20"/>
        </w:rPr>
      </w:pPr>
      <w:r w:rsidRPr="009815C6">
        <w:rPr>
          <w:b/>
          <w:bCs/>
          <w:sz w:val="20"/>
          <w:szCs w:val="20"/>
        </w:rPr>
        <w:t>Beantwoording vragen:</w:t>
      </w:r>
    </w:p>
    <w:tbl>
      <w:tblPr>
        <w:tblW w:w="15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1"/>
        <w:gridCol w:w="2998"/>
        <w:gridCol w:w="4562"/>
        <w:gridCol w:w="2975"/>
        <w:gridCol w:w="3966"/>
      </w:tblGrid>
      <w:tr w:rsidR="009815C6" w:rsidRPr="009815C6" w14:paraId="31F0DBD8" w14:textId="77777777" w:rsidTr="009815C6">
        <w:trPr>
          <w:trHeight w:val="576"/>
          <w:tblHeader/>
        </w:trPr>
        <w:tc>
          <w:tcPr>
            <w:tcW w:w="940" w:type="dxa"/>
            <w:shd w:val="clear" w:color="auto" w:fill="FBE4D5" w:themeFill="accent2" w:themeFillTint="33"/>
            <w:hideMark/>
          </w:tcPr>
          <w:p w14:paraId="2AECD756" w14:textId="77777777" w:rsidR="009815C6" w:rsidRPr="009815C6" w:rsidRDefault="009815C6" w:rsidP="009815C6">
            <w:pPr>
              <w:spacing w:after="0" w:line="240" w:lineRule="auto"/>
              <w:rPr>
                <w:rFonts w:ascii="Calibri" w:eastAsia="Times New Roman" w:hAnsi="Calibri" w:cs="Calibri"/>
                <w:b/>
                <w:bCs/>
                <w:color w:val="000000"/>
                <w:lang w:eastAsia="nl-NL"/>
              </w:rPr>
            </w:pPr>
            <w:r w:rsidRPr="009815C6">
              <w:rPr>
                <w:rFonts w:ascii="Calibri" w:eastAsia="Times New Roman" w:hAnsi="Calibri" w:cs="Calibri"/>
                <w:b/>
                <w:bCs/>
                <w:color w:val="000000"/>
                <w:lang w:eastAsia="nl-NL"/>
              </w:rPr>
              <w:t>Nummer</w:t>
            </w:r>
          </w:p>
        </w:tc>
        <w:tc>
          <w:tcPr>
            <w:tcW w:w="3000" w:type="dxa"/>
            <w:shd w:val="clear" w:color="auto" w:fill="FBE4D5" w:themeFill="accent2" w:themeFillTint="33"/>
            <w:hideMark/>
          </w:tcPr>
          <w:p w14:paraId="5B0DB5C3" w14:textId="77777777" w:rsidR="009815C6" w:rsidRPr="009815C6" w:rsidRDefault="009815C6" w:rsidP="009815C6">
            <w:pPr>
              <w:spacing w:after="0" w:line="240" w:lineRule="auto"/>
              <w:rPr>
                <w:rFonts w:ascii="Calibri" w:eastAsia="Times New Roman" w:hAnsi="Calibri" w:cs="Calibri"/>
                <w:b/>
                <w:bCs/>
                <w:color w:val="000000"/>
                <w:lang w:eastAsia="nl-NL"/>
              </w:rPr>
            </w:pPr>
            <w:r w:rsidRPr="009815C6">
              <w:rPr>
                <w:rFonts w:ascii="Calibri" w:eastAsia="Times New Roman" w:hAnsi="Calibri" w:cs="Calibri"/>
                <w:b/>
                <w:bCs/>
                <w:color w:val="000000"/>
                <w:lang w:eastAsia="nl-NL"/>
              </w:rPr>
              <w:t>Vind plaats (document/paragraaf of pagina)</w:t>
            </w:r>
          </w:p>
        </w:tc>
        <w:tc>
          <w:tcPr>
            <w:tcW w:w="4566" w:type="dxa"/>
            <w:shd w:val="clear" w:color="auto" w:fill="FBE4D5" w:themeFill="accent2" w:themeFillTint="33"/>
            <w:hideMark/>
          </w:tcPr>
          <w:p w14:paraId="3802EA88" w14:textId="77777777" w:rsidR="009815C6" w:rsidRPr="009815C6" w:rsidRDefault="009815C6" w:rsidP="009815C6">
            <w:pPr>
              <w:spacing w:after="0" w:line="240" w:lineRule="auto"/>
              <w:rPr>
                <w:rFonts w:ascii="Calibri" w:eastAsia="Times New Roman" w:hAnsi="Calibri" w:cs="Calibri"/>
                <w:b/>
                <w:bCs/>
                <w:color w:val="000000"/>
                <w:lang w:eastAsia="nl-NL"/>
              </w:rPr>
            </w:pPr>
            <w:r w:rsidRPr="009815C6">
              <w:rPr>
                <w:rFonts w:ascii="Calibri" w:eastAsia="Times New Roman" w:hAnsi="Calibri" w:cs="Calibri"/>
                <w:b/>
                <w:bCs/>
                <w:color w:val="000000"/>
                <w:lang w:eastAsia="nl-NL"/>
              </w:rPr>
              <w:t>Vraag</w:t>
            </w:r>
          </w:p>
        </w:tc>
        <w:tc>
          <w:tcPr>
            <w:tcW w:w="2977" w:type="dxa"/>
            <w:shd w:val="clear" w:color="auto" w:fill="FBE4D5" w:themeFill="accent2" w:themeFillTint="33"/>
            <w:hideMark/>
          </w:tcPr>
          <w:p w14:paraId="62EC4470" w14:textId="77777777" w:rsidR="009815C6" w:rsidRPr="009815C6" w:rsidRDefault="009815C6" w:rsidP="009815C6">
            <w:pPr>
              <w:spacing w:after="0" w:line="240" w:lineRule="auto"/>
              <w:rPr>
                <w:rFonts w:ascii="Calibri" w:eastAsia="Times New Roman" w:hAnsi="Calibri" w:cs="Calibri"/>
                <w:b/>
                <w:bCs/>
                <w:color w:val="000000"/>
                <w:lang w:eastAsia="nl-NL"/>
              </w:rPr>
            </w:pPr>
            <w:r w:rsidRPr="009815C6">
              <w:rPr>
                <w:rFonts w:ascii="Calibri" w:eastAsia="Times New Roman" w:hAnsi="Calibri" w:cs="Calibri"/>
                <w:b/>
                <w:bCs/>
                <w:color w:val="000000"/>
                <w:lang w:eastAsia="nl-NL"/>
              </w:rPr>
              <w:t>eventuele toelichting op de vraag</w:t>
            </w:r>
          </w:p>
        </w:tc>
        <w:tc>
          <w:tcPr>
            <w:tcW w:w="3969" w:type="dxa"/>
            <w:shd w:val="clear" w:color="auto" w:fill="FBE4D5" w:themeFill="accent2" w:themeFillTint="33"/>
            <w:hideMark/>
          </w:tcPr>
          <w:p w14:paraId="1D0A5F25" w14:textId="77777777" w:rsidR="009815C6" w:rsidRPr="009815C6" w:rsidRDefault="009815C6" w:rsidP="009815C6">
            <w:pPr>
              <w:spacing w:after="0" w:line="240" w:lineRule="auto"/>
              <w:rPr>
                <w:rFonts w:ascii="Calibri" w:eastAsia="Times New Roman" w:hAnsi="Calibri" w:cs="Calibri"/>
                <w:b/>
                <w:bCs/>
                <w:color w:val="000000"/>
                <w:lang w:eastAsia="nl-NL"/>
              </w:rPr>
            </w:pPr>
            <w:r w:rsidRPr="009815C6">
              <w:rPr>
                <w:rFonts w:ascii="Calibri" w:eastAsia="Times New Roman" w:hAnsi="Calibri" w:cs="Calibri"/>
                <w:b/>
                <w:bCs/>
                <w:color w:val="000000"/>
                <w:lang w:eastAsia="nl-NL"/>
              </w:rPr>
              <w:t>Antwoord (NLPO)</w:t>
            </w:r>
          </w:p>
        </w:tc>
      </w:tr>
      <w:tr w:rsidR="009815C6" w:rsidRPr="009815C6" w14:paraId="3BD708A5" w14:textId="77777777" w:rsidTr="009815C6">
        <w:trPr>
          <w:trHeight w:val="864"/>
        </w:trPr>
        <w:tc>
          <w:tcPr>
            <w:tcW w:w="940" w:type="dxa"/>
            <w:shd w:val="clear" w:color="auto" w:fill="auto"/>
            <w:hideMark/>
          </w:tcPr>
          <w:p w14:paraId="002EB94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1</w:t>
            </w:r>
          </w:p>
        </w:tc>
        <w:tc>
          <w:tcPr>
            <w:tcW w:w="3000" w:type="dxa"/>
            <w:shd w:val="clear" w:color="auto" w:fill="auto"/>
            <w:hideMark/>
          </w:tcPr>
          <w:p w14:paraId="1B876B8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Prijzenblad </w:t>
            </w:r>
          </w:p>
        </w:tc>
        <w:tc>
          <w:tcPr>
            <w:tcW w:w="4566" w:type="dxa"/>
            <w:shd w:val="clear" w:color="auto" w:fill="auto"/>
            <w:hideMark/>
          </w:tcPr>
          <w:p w14:paraId="3536035A" w14:textId="6CA51D5A"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Masthuur dient te worden gespecificeerd, maar mag niet worden geïndexeerd. Dit houdt in dat voor de gehele contractperiode een (fictieve) prijsindexatie wordt toegevoegd. Mogelijk werkt dit onnodig kostenverhogend. Om dit te voorkomen zou gewerkt kunnen worden met indexeren volgens CPI. Kan NLPO een indexatie mogelijkheid toevoegen?</w:t>
            </w:r>
          </w:p>
        </w:tc>
        <w:tc>
          <w:tcPr>
            <w:tcW w:w="2977" w:type="dxa"/>
            <w:shd w:val="clear" w:color="auto" w:fill="auto"/>
            <w:hideMark/>
          </w:tcPr>
          <w:p w14:paraId="742B509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3CC0645D" w14:textId="77777777"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In de raamovereenkomst is een indexatiemogelijkheid opgenomen voor opstelpunten (inclusief masthuur).</w:t>
            </w:r>
          </w:p>
        </w:tc>
      </w:tr>
      <w:tr w:rsidR="009815C6" w:rsidRPr="009815C6" w14:paraId="1154C1A0" w14:textId="77777777" w:rsidTr="009815C6">
        <w:trPr>
          <w:trHeight w:val="2016"/>
        </w:trPr>
        <w:tc>
          <w:tcPr>
            <w:tcW w:w="940" w:type="dxa"/>
            <w:shd w:val="clear" w:color="auto" w:fill="auto"/>
            <w:hideMark/>
          </w:tcPr>
          <w:p w14:paraId="4373790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w:t>
            </w:r>
          </w:p>
        </w:tc>
        <w:tc>
          <w:tcPr>
            <w:tcW w:w="3000" w:type="dxa"/>
            <w:shd w:val="clear" w:color="auto" w:fill="auto"/>
            <w:hideMark/>
          </w:tcPr>
          <w:p w14:paraId="3FF61E1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Prijzenblad </w:t>
            </w:r>
          </w:p>
        </w:tc>
        <w:tc>
          <w:tcPr>
            <w:tcW w:w="4566" w:type="dxa"/>
            <w:shd w:val="clear" w:color="auto" w:fill="auto"/>
            <w:hideMark/>
          </w:tcPr>
          <w:p w14:paraId="5FEE16F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Energie wordt als prognose opgevoerd. Om kostentransparant te zijn en laagst mogelijke prijs te kunnen aanbieden stellen we voor om de energiekosten op basis van pass-</w:t>
            </w:r>
            <w:proofErr w:type="spellStart"/>
            <w:r w:rsidRPr="009815C6">
              <w:rPr>
                <w:rFonts w:ascii="Calibri" w:eastAsia="Times New Roman" w:hAnsi="Calibri" w:cs="Calibri"/>
                <w:color w:val="000000"/>
                <w:lang w:eastAsia="nl-NL"/>
              </w:rPr>
              <w:t>through</w:t>
            </w:r>
            <w:proofErr w:type="spellEnd"/>
            <w:r w:rsidRPr="009815C6">
              <w:rPr>
                <w:rFonts w:ascii="Calibri" w:eastAsia="Times New Roman" w:hAnsi="Calibri" w:cs="Calibri"/>
                <w:color w:val="000000"/>
                <w:lang w:eastAsia="nl-NL"/>
              </w:rPr>
              <w:t xml:space="preserve"> op te nemen in de overeenkomst. Als dit niet mogelijk is zal een risico-opslag toegevoegd worden aan het energietarief. Is dit wat NLPO voor ogen heeft met deze bepaling?</w:t>
            </w:r>
          </w:p>
        </w:tc>
        <w:tc>
          <w:tcPr>
            <w:tcW w:w="2977" w:type="dxa"/>
            <w:shd w:val="clear" w:color="auto" w:fill="auto"/>
            <w:hideMark/>
          </w:tcPr>
          <w:p w14:paraId="4BF34F0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02AB45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In de overeenkomst is een clausule opgenomen voor de wijze waarop omgegaan wordt met het dalen en stijgen van de energieprijs. Het prijzenblad wordt hierop aangepast.</w:t>
            </w:r>
          </w:p>
        </w:tc>
      </w:tr>
      <w:tr w:rsidR="009815C6" w:rsidRPr="009815C6" w14:paraId="71F55EB8" w14:textId="77777777" w:rsidTr="009815C6">
        <w:trPr>
          <w:trHeight w:val="1152"/>
        </w:trPr>
        <w:tc>
          <w:tcPr>
            <w:tcW w:w="940" w:type="dxa"/>
            <w:shd w:val="clear" w:color="auto" w:fill="auto"/>
            <w:hideMark/>
          </w:tcPr>
          <w:p w14:paraId="7B94D90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3</w:t>
            </w:r>
          </w:p>
        </w:tc>
        <w:tc>
          <w:tcPr>
            <w:tcW w:w="3000" w:type="dxa"/>
            <w:shd w:val="clear" w:color="auto" w:fill="auto"/>
            <w:hideMark/>
          </w:tcPr>
          <w:p w14:paraId="18580EA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Prijzenblad </w:t>
            </w:r>
          </w:p>
        </w:tc>
        <w:tc>
          <w:tcPr>
            <w:tcW w:w="4566" w:type="dxa"/>
            <w:shd w:val="clear" w:color="auto" w:fill="auto"/>
            <w:hideMark/>
          </w:tcPr>
          <w:p w14:paraId="053726C4" w14:textId="7D3A8ACA"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Het prijzenblad gaat uit van 56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de documentatie van 57.  Welke is juist?</w:t>
            </w:r>
          </w:p>
        </w:tc>
        <w:tc>
          <w:tcPr>
            <w:tcW w:w="2977" w:type="dxa"/>
            <w:shd w:val="clear" w:color="auto" w:fill="auto"/>
            <w:hideMark/>
          </w:tcPr>
          <w:p w14:paraId="2FD6D79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601A7488" w14:textId="7568DB58"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 xml:space="preserve">De VTO is hierop aangepast: er zijn 56 </w:t>
            </w:r>
            <w:proofErr w:type="spellStart"/>
            <w:r>
              <w:rPr>
                <w:rFonts w:ascii="Calibri" w:eastAsia="Times New Roman" w:hAnsi="Calibri" w:cs="Calibri"/>
                <w:lang w:eastAsia="nl-NL"/>
              </w:rPr>
              <w:t>Allotment</w:t>
            </w:r>
            <w:r w:rsidRPr="009815C6">
              <w:rPr>
                <w:rFonts w:ascii="Calibri" w:eastAsia="Times New Roman" w:hAnsi="Calibri" w:cs="Calibri"/>
                <w:lang w:eastAsia="nl-NL"/>
              </w:rPr>
              <w:t>s</w:t>
            </w:r>
            <w:proofErr w:type="spellEnd"/>
            <w:r w:rsidRPr="009815C6">
              <w:rPr>
                <w:rFonts w:ascii="Calibri" w:eastAsia="Times New Roman" w:hAnsi="Calibri" w:cs="Calibri"/>
                <w:lang w:eastAsia="nl-NL"/>
              </w:rPr>
              <w:t xml:space="preserve">. Het </w:t>
            </w:r>
            <w:proofErr w:type="spellStart"/>
            <w:r>
              <w:rPr>
                <w:rFonts w:ascii="Calibri" w:eastAsia="Times New Roman" w:hAnsi="Calibri" w:cs="Calibri"/>
                <w:lang w:eastAsia="nl-NL"/>
              </w:rPr>
              <w:t>Allotment</w:t>
            </w:r>
            <w:proofErr w:type="spellEnd"/>
            <w:r w:rsidRPr="009815C6">
              <w:rPr>
                <w:rFonts w:ascii="Calibri" w:eastAsia="Times New Roman" w:hAnsi="Calibri" w:cs="Calibri"/>
                <w:lang w:eastAsia="nl-NL"/>
              </w:rPr>
              <w:t xml:space="preserve"> Waddeneilanden wordt optioneel uitgevraagd. </w:t>
            </w:r>
          </w:p>
        </w:tc>
      </w:tr>
      <w:tr w:rsidR="009815C6" w:rsidRPr="009815C6" w14:paraId="06436BE4" w14:textId="77777777" w:rsidTr="009815C6">
        <w:trPr>
          <w:trHeight w:val="1728"/>
        </w:trPr>
        <w:tc>
          <w:tcPr>
            <w:tcW w:w="940" w:type="dxa"/>
            <w:shd w:val="clear" w:color="auto" w:fill="auto"/>
            <w:hideMark/>
          </w:tcPr>
          <w:p w14:paraId="6D3FA67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4</w:t>
            </w:r>
          </w:p>
        </w:tc>
        <w:tc>
          <w:tcPr>
            <w:tcW w:w="3000" w:type="dxa"/>
            <w:shd w:val="clear" w:color="auto" w:fill="auto"/>
            <w:hideMark/>
          </w:tcPr>
          <w:p w14:paraId="3DE1F32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Prijzenblad </w:t>
            </w:r>
          </w:p>
        </w:tc>
        <w:tc>
          <w:tcPr>
            <w:tcW w:w="4566" w:type="dxa"/>
            <w:shd w:val="clear" w:color="auto" w:fill="auto"/>
            <w:hideMark/>
          </w:tcPr>
          <w:p w14:paraId="203AFE5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In het prijzenblad per omroep dient een verdeling te worden gemaakt tussen PO en CO.  Verstrekt NLPO deze verdeling?</w:t>
            </w:r>
          </w:p>
        </w:tc>
        <w:tc>
          <w:tcPr>
            <w:tcW w:w="2977" w:type="dxa"/>
            <w:shd w:val="clear" w:color="auto" w:fill="auto"/>
            <w:hideMark/>
          </w:tcPr>
          <w:p w14:paraId="123CD050"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42104C14" w14:textId="6EA0BE0C"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Dit kan door NLPO verstrekt worden. Maar pas nadat alle vergunninghouders bekend zijn. Dat is naar verwachting begin augustus duidelijk. NLPO zal bij uitsturen van de stukken voor de definitieve </w:t>
            </w:r>
            <w:r>
              <w:rPr>
                <w:rFonts w:ascii="Calibri" w:eastAsia="Times New Roman" w:hAnsi="Calibri" w:cs="Calibri"/>
                <w:color w:val="000000"/>
                <w:lang w:eastAsia="nl-NL"/>
              </w:rPr>
              <w:t>a</w:t>
            </w:r>
            <w:r w:rsidRPr="009815C6">
              <w:rPr>
                <w:rFonts w:ascii="Calibri" w:eastAsia="Times New Roman" w:hAnsi="Calibri" w:cs="Calibri"/>
                <w:color w:val="000000"/>
                <w:lang w:eastAsia="nl-NL"/>
              </w:rPr>
              <w:t>anbieding (begin oktober) de verdeling PO en CO toevoegen aan het prijzenblad.</w:t>
            </w:r>
          </w:p>
        </w:tc>
      </w:tr>
      <w:tr w:rsidR="009815C6" w:rsidRPr="009815C6" w14:paraId="3DE47EC6" w14:textId="77777777" w:rsidTr="009815C6">
        <w:trPr>
          <w:trHeight w:val="4608"/>
        </w:trPr>
        <w:tc>
          <w:tcPr>
            <w:tcW w:w="940" w:type="dxa"/>
            <w:shd w:val="clear" w:color="auto" w:fill="auto"/>
            <w:hideMark/>
          </w:tcPr>
          <w:p w14:paraId="638ECE6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5</w:t>
            </w:r>
          </w:p>
        </w:tc>
        <w:tc>
          <w:tcPr>
            <w:tcW w:w="3000" w:type="dxa"/>
            <w:shd w:val="clear" w:color="auto" w:fill="auto"/>
            <w:hideMark/>
          </w:tcPr>
          <w:p w14:paraId="78908D8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w:t>
            </w:r>
            <w:r w:rsidRPr="009815C6">
              <w:rPr>
                <w:rFonts w:ascii="Calibri" w:eastAsia="Times New Roman" w:hAnsi="Calibri" w:cs="Calibri"/>
                <w:color w:val="000000"/>
                <w:lang w:eastAsia="nl-NL"/>
              </w:rPr>
              <w:br/>
              <w:t xml:space="preserve">Vraagspecificatie  2.2 </w:t>
            </w:r>
          </w:p>
        </w:tc>
        <w:tc>
          <w:tcPr>
            <w:tcW w:w="4566" w:type="dxa"/>
            <w:shd w:val="clear" w:color="auto" w:fill="auto"/>
            <w:hideMark/>
          </w:tcPr>
          <w:p w14:paraId="5C921430" w14:textId="33F2432A"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Zolang het aantal deelnemers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niet duidelijk is kan de </w:t>
            </w:r>
            <w:proofErr w:type="spellStart"/>
            <w:r w:rsidRPr="009815C6">
              <w:rPr>
                <w:rFonts w:ascii="Calibri" w:eastAsia="Times New Roman" w:hAnsi="Calibri" w:cs="Calibri"/>
                <w:color w:val="000000"/>
                <w:lang w:eastAsia="nl-NL"/>
              </w:rPr>
              <w:t>bereiksstudie</w:t>
            </w:r>
            <w:proofErr w:type="spellEnd"/>
            <w:r w:rsidRPr="009815C6">
              <w:rPr>
                <w:rFonts w:ascii="Calibri" w:eastAsia="Times New Roman" w:hAnsi="Calibri" w:cs="Calibri"/>
                <w:color w:val="000000"/>
                <w:lang w:eastAsia="nl-NL"/>
              </w:rPr>
              <w:t xml:space="preserve"> en prijscalculatie niet gemaakt worden. Berekeningen hebben een doorlooptijd nodig waardoor de deadline van indienen (10 september) mogelijk niet kan worden gehaald.  Kan NLPO vooraf de lijst met te verwachten deelnemers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verstrekken?</w:t>
            </w:r>
          </w:p>
        </w:tc>
        <w:tc>
          <w:tcPr>
            <w:tcW w:w="2977" w:type="dxa"/>
            <w:shd w:val="clear" w:color="auto" w:fill="auto"/>
            <w:hideMark/>
          </w:tcPr>
          <w:p w14:paraId="6B1D4C6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E09ED61" w14:textId="1DE52444"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NLPO beschikt in deze over dezelfde informatie als aanbieder. NLPO verwacht dat begin augustus de deelnemers bekend zijn en of er een veiling voor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moet worden gehouden. In dat geval (bij een veiling) is ook duidelijk dat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meer dan 8 vergunninghouders zijn. NLPO gaat ervan uit dat begin augustus duidelijk is wat de IGV moet zijn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Indien de vier weken tussen bekend worden vergunningen en indienen </w:t>
            </w:r>
            <w:proofErr w:type="spellStart"/>
            <w:r w:rsidRPr="009815C6">
              <w:rPr>
                <w:rFonts w:ascii="Calibri" w:eastAsia="Times New Roman" w:hAnsi="Calibri" w:cs="Calibri"/>
                <w:color w:val="000000"/>
                <w:lang w:eastAsia="nl-NL"/>
              </w:rPr>
              <w:t>initiele</w:t>
            </w:r>
            <w:proofErr w:type="spellEnd"/>
            <w:r w:rsidRPr="009815C6">
              <w:rPr>
                <w:rFonts w:ascii="Calibri" w:eastAsia="Times New Roman" w:hAnsi="Calibri" w:cs="Calibri"/>
                <w:color w:val="000000"/>
                <w:lang w:eastAsia="nl-NL"/>
              </w:rPr>
              <w:t xml:space="preserve"> aanbiedingen, als te kort wordt ervaren om een aanbieding te doen, dan verneemt NLPO van de aanbieder welk uitstel gewenst is. Hou hiermee rekening dat het Ministerie van EZK vereist dat per 2025 Q3 de eerste IGV dekking percentages behaald moeten zijn. </w:t>
            </w:r>
          </w:p>
        </w:tc>
      </w:tr>
      <w:tr w:rsidR="009815C6" w:rsidRPr="009815C6" w14:paraId="4FB36844" w14:textId="77777777" w:rsidTr="009815C6">
        <w:trPr>
          <w:trHeight w:val="1728"/>
        </w:trPr>
        <w:tc>
          <w:tcPr>
            <w:tcW w:w="940" w:type="dxa"/>
            <w:shd w:val="clear" w:color="auto" w:fill="auto"/>
            <w:hideMark/>
          </w:tcPr>
          <w:p w14:paraId="01E0584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6</w:t>
            </w:r>
          </w:p>
        </w:tc>
        <w:tc>
          <w:tcPr>
            <w:tcW w:w="3000" w:type="dxa"/>
            <w:shd w:val="clear" w:color="auto" w:fill="auto"/>
            <w:hideMark/>
          </w:tcPr>
          <w:p w14:paraId="16A7A0A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w:t>
            </w:r>
            <w:r w:rsidRPr="009815C6">
              <w:rPr>
                <w:rFonts w:ascii="Calibri" w:eastAsia="Times New Roman" w:hAnsi="Calibri" w:cs="Calibri"/>
                <w:color w:val="000000"/>
                <w:lang w:eastAsia="nl-NL"/>
              </w:rPr>
              <w:br/>
              <w:t>2.10</w:t>
            </w:r>
          </w:p>
        </w:tc>
        <w:tc>
          <w:tcPr>
            <w:tcW w:w="4566" w:type="dxa"/>
            <w:shd w:val="clear" w:color="auto" w:fill="auto"/>
            <w:hideMark/>
          </w:tcPr>
          <w:p w14:paraId="37CA8F4B" w14:textId="5CC49FD3"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Na de keuze van de gegunde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volgt een optimalisatie waarbij mogelijk de opstelpunten van de deelnemers worden ingezet. Is het mogelijk dat de NLPO in deze fase een lijst aanlevert met de opstelpunten (incl. de technische details)  van aangesloten omroepen die zij kunnen inbrengen? De aanbieding kan hier dan gelijk op worden afgestemd.</w:t>
            </w:r>
          </w:p>
        </w:tc>
        <w:tc>
          <w:tcPr>
            <w:tcW w:w="2977" w:type="dxa"/>
            <w:shd w:val="clear" w:color="auto" w:fill="auto"/>
            <w:hideMark/>
          </w:tcPr>
          <w:p w14:paraId="70E8074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106D6474" w14:textId="37B38C34"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Nee, deze (optimalisatie) fase vindt plaats nadat vergunninghouders hun keuze hebben gemaakt voor de aanbieding van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(s). De gekozen aanbieder kan dan dus direct zelf in contact treden met vergunninghouders om eventuele (gewenste) optimalisaties af te stemmen.</w:t>
            </w:r>
          </w:p>
        </w:tc>
      </w:tr>
      <w:tr w:rsidR="009815C6" w:rsidRPr="009815C6" w14:paraId="5B81021B" w14:textId="77777777" w:rsidTr="009815C6">
        <w:trPr>
          <w:trHeight w:val="576"/>
        </w:trPr>
        <w:tc>
          <w:tcPr>
            <w:tcW w:w="940" w:type="dxa"/>
            <w:shd w:val="clear" w:color="auto" w:fill="auto"/>
            <w:hideMark/>
          </w:tcPr>
          <w:p w14:paraId="30B3E66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7</w:t>
            </w:r>
          </w:p>
        </w:tc>
        <w:tc>
          <w:tcPr>
            <w:tcW w:w="3000" w:type="dxa"/>
            <w:shd w:val="clear" w:color="auto" w:fill="auto"/>
            <w:hideMark/>
          </w:tcPr>
          <w:p w14:paraId="009AADE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w:t>
            </w:r>
            <w:r w:rsidRPr="009815C6">
              <w:rPr>
                <w:rFonts w:ascii="Calibri" w:eastAsia="Times New Roman" w:hAnsi="Calibri" w:cs="Calibri"/>
                <w:color w:val="000000"/>
                <w:lang w:eastAsia="nl-NL"/>
              </w:rPr>
              <w:br/>
              <w:t xml:space="preserve"> 4.1.1</w:t>
            </w:r>
          </w:p>
        </w:tc>
        <w:tc>
          <w:tcPr>
            <w:tcW w:w="4566" w:type="dxa"/>
            <w:shd w:val="clear" w:color="auto" w:fill="auto"/>
            <w:hideMark/>
          </w:tcPr>
          <w:p w14:paraId="490E180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NLPO kan aanvullende netwerkberekeningen verzoeken met propagatiemodel </w:t>
            </w:r>
            <w:proofErr w:type="spellStart"/>
            <w:r w:rsidRPr="009815C6">
              <w:rPr>
                <w:rFonts w:ascii="Calibri" w:eastAsia="Times New Roman" w:hAnsi="Calibri" w:cs="Calibri"/>
                <w:color w:val="000000"/>
                <w:lang w:eastAsia="nl-NL"/>
              </w:rPr>
              <w:t>Longley&amp;Rice</w:t>
            </w:r>
            <w:proofErr w:type="spellEnd"/>
            <w:r w:rsidRPr="009815C6">
              <w:rPr>
                <w:rFonts w:ascii="Calibri" w:eastAsia="Times New Roman" w:hAnsi="Calibri" w:cs="Calibri"/>
                <w:color w:val="000000"/>
                <w:lang w:eastAsia="nl-NL"/>
              </w:rPr>
              <w:t xml:space="preserve"> of CIC dienen te worden gemaakt? Het model CIC is bij ons onbekend. Kan het zijn dat hier het CRC model wordt bedoeld?</w:t>
            </w:r>
          </w:p>
        </w:tc>
        <w:tc>
          <w:tcPr>
            <w:tcW w:w="2977" w:type="dxa"/>
            <w:shd w:val="clear" w:color="auto" w:fill="auto"/>
            <w:hideMark/>
          </w:tcPr>
          <w:p w14:paraId="3CBCF60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38381B6D" w14:textId="77777777"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 xml:space="preserve">Correct het gaat om het CRC model. Dit is aangepast in het VTO document. </w:t>
            </w:r>
          </w:p>
        </w:tc>
      </w:tr>
      <w:tr w:rsidR="009815C6" w:rsidRPr="009815C6" w14:paraId="6FEE08E5" w14:textId="77777777" w:rsidTr="009815C6">
        <w:trPr>
          <w:trHeight w:val="2016"/>
        </w:trPr>
        <w:tc>
          <w:tcPr>
            <w:tcW w:w="940" w:type="dxa"/>
            <w:shd w:val="clear" w:color="auto" w:fill="auto"/>
            <w:hideMark/>
          </w:tcPr>
          <w:p w14:paraId="7F3ABA0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8</w:t>
            </w:r>
          </w:p>
        </w:tc>
        <w:tc>
          <w:tcPr>
            <w:tcW w:w="3000" w:type="dxa"/>
            <w:shd w:val="clear" w:color="auto" w:fill="auto"/>
            <w:hideMark/>
          </w:tcPr>
          <w:p w14:paraId="0AFF477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w:t>
            </w:r>
            <w:r w:rsidRPr="009815C6">
              <w:rPr>
                <w:rFonts w:ascii="Calibri" w:eastAsia="Times New Roman" w:hAnsi="Calibri" w:cs="Calibri"/>
                <w:color w:val="000000"/>
                <w:lang w:eastAsia="nl-NL"/>
              </w:rPr>
              <w:br/>
              <w:t xml:space="preserve"> 4.4.1</w:t>
            </w:r>
          </w:p>
        </w:tc>
        <w:tc>
          <w:tcPr>
            <w:tcW w:w="4566" w:type="dxa"/>
            <w:shd w:val="clear" w:color="auto" w:fill="auto"/>
            <w:hideMark/>
          </w:tcPr>
          <w:p w14:paraId="7E650DDF" w14:textId="296FF60F"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Het kan niet uitgesloten worden dat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niet conform de vergunningseisen ingevuld kan worden. Een voorbeeld hiervan zijn bijv.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1 Waddeneilanden. Hoe gaat NLPO daarmee om?</w:t>
            </w:r>
          </w:p>
        </w:tc>
        <w:tc>
          <w:tcPr>
            <w:tcW w:w="2977" w:type="dxa"/>
            <w:shd w:val="clear" w:color="auto" w:fill="auto"/>
            <w:hideMark/>
          </w:tcPr>
          <w:p w14:paraId="05D210F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66E16509" w14:textId="4C85596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NLPO gaat ervan uit dat ALLE </w:t>
            </w:r>
            <w:proofErr w:type="spellStart"/>
            <w:r w:rsidRPr="009815C6">
              <w:rPr>
                <w:rFonts w:ascii="Calibri" w:eastAsia="Times New Roman" w:hAnsi="Calibri" w:cs="Calibri"/>
                <w:color w:val="000000"/>
                <w:lang w:eastAsia="nl-NL"/>
              </w:rPr>
              <w:t>Allotments</w:t>
            </w:r>
            <w:proofErr w:type="spellEnd"/>
            <w:r w:rsidRPr="009815C6">
              <w:rPr>
                <w:rFonts w:ascii="Calibri" w:eastAsia="Times New Roman" w:hAnsi="Calibri" w:cs="Calibri"/>
                <w:color w:val="000000"/>
                <w:lang w:eastAsia="nl-NL"/>
              </w:rPr>
              <w:t xml:space="preserve"> voldoen aan de </w:t>
            </w:r>
            <w:proofErr w:type="spellStart"/>
            <w:r w:rsidRPr="009815C6">
              <w:rPr>
                <w:rFonts w:ascii="Calibri" w:eastAsia="Times New Roman" w:hAnsi="Calibri" w:cs="Calibri"/>
                <w:color w:val="000000"/>
                <w:lang w:eastAsia="nl-NL"/>
              </w:rPr>
              <w:t>vergunningeisen</w:t>
            </w:r>
            <w:proofErr w:type="spellEnd"/>
            <w:r w:rsidRPr="009815C6">
              <w:rPr>
                <w:rFonts w:ascii="Calibri" w:eastAsia="Times New Roman" w:hAnsi="Calibri" w:cs="Calibri"/>
                <w:color w:val="000000"/>
                <w:lang w:eastAsia="nl-NL"/>
              </w:rPr>
              <w:t xml:space="preserve">. Uw vraag begrijpt NLPO zo dat het niet kunnen voldoen aan de SLA eisen </w:t>
            </w:r>
            <w:r w:rsidRPr="009815C6">
              <w:rPr>
                <w:rFonts w:ascii="Calibri" w:eastAsia="Times New Roman" w:hAnsi="Calibri" w:cs="Calibri"/>
                <w:i/>
                <w:iCs/>
                <w:color w:val="000000"/>
                <w:lang w:eastAsia="nl-NL"/>
              </w:rPr>
              <w:t>alleen</w:t>
            </w:r>
            <w:r w:rsidRPr="009815C6">
              <w:rPr>
                <w:rFonts w:ascii="Calibri" w:eastAsia="Times New Roman" w:hAnsi="Calibri" w:cs="Calibri"/>
                <w:color w:val="000000"/>
                <w:lang w:eastAsia="nl-NL"/>
              </w:rPr>
              <w:t xml:space="preserve"> geldt voor </w:t>
            </w:r>
            <w:proofErr w:type="spellStart"/>
            <w:r w:rsidRPr="009815C6">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1. Om tegemoet te komen aan de door aanbieders gesignaleerde knelpunten bij dit </w:t>
            </w:r>
            <w:proofErr w:type="spellStart"/>
            <w:r w:rsidRPr="009815C6">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is het </w:t>
            </w:r>
            <w:proofErr w:type="spellStart"/>
            <w:r w:rsidRPr="009815C6">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een optie geworden </w:t>
            </w:r>
            <w:r w:rsidR="00F64A65">
              <w:rPr>
                <w:rFonts w:ascii="Calibri" w:eastAsia="Times New Roman" w:hAnsi="Calibri" w:cs="Calibri"/>
                <w:color w:val="000000"/>
                <w:lang w:eastAsia="nl-NL"/>
              </w:rPr>
              <w:t xml:space="preserve">(NLPO wil wel de prijs weten en bepaalt dan of zij de Diensten voor het </w:t>
            </w:r>
            <w:proofErr w:type="spellStart"/>
            <w:r w:rsidR="00F64A65">
              <w:rPr>
                <w:rFonts w:ascii="Calibri" w:eastAsia="Times New Roman" w:hAnsi="Calibri" w:cs="Calibri"/>
                <w:color w:val="000000"/>
                <w:lang w:eastAsia="nl-NL"/>
              </w:rPr>
              <w:lastRenderedPageBreak/>
              <w:t>Allotment</w:t>
            </w:r>
            <w:proofErr w:type="spellEnd"/>
            <w:r w:rsidR="00F64A65">
              <w:rPr>
                <w:rFonts w:ascii="Calibri" w:eastAsia="Times New Roman" w:hAnsi="Calibri" w:cs="Calibri"/>
                <w:color w:val="000000"/>
                <w:lang w:eastAsia="nl-NL"/>
              </w:rPr>
              <w:t xml:space="preserve"> wil afnemen) </w:t>
            </w:r>
            <w:r w:rsidRPr="009815C6">
              <w:rPr>
                <w:rFonts w:ascii="Calibri" w:eastAsia="Times New Roman" w:hAnsi="Calibri" w:cs="Calibri"/>
                <w:color w:val="000000"/>
                <w:lang w:eastAsia="nl-NL"/>
              </w:rPr>
              <w:t xml:space="preserve">en zijn de SLA eisen aangepast. </w:t>
            </w:r>
          </w:p>
        </w:tc>
      </w:tr>
      <w:tr w:rsidR="009815C6" w:rsidRPr="009815C6" w14:paraId="4D5E7230" w14:textId="77777777" w:rsidTr="009815C6">
        <w:trPr>
          <w:trHeight w:val="864"/>
        </w:trPr>
        <w:tc>
          <w:tcPr>
            <w:tcW w:w="940" w:type="dxa"/>
            <w:shd w:val="clear" w:color="auto" w:fill="auto"/>
            <w:hideMark/>
          </w:tcPr>
          <w:p w14:paraId="19D8385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9</w:t>
            </w:r>
          </w:p>
        </w:tc>
        <w:tc>
          <w:tcPr>
            <w:tcW w:w="3000" w:type="dxa"/>
            <w:shd w:val="clear" w:color="auto" w:fill="auto"/>
            <w:hideMark/>
          </w:tcPr>
          <w:p w14:paraId="16F66B40"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w:t>
            </w:r>
            <w:r w:rsidRPr="009815C6">
              <w:rPr>
                <w:rFonts w:ascii="Calibri" w:eastAsia="Times New Roman" w:hAnsi="Calibri" w:cs="Calibri"/>
                <w:color w:val="000000"/>
                <w:lang w:eastAsia="nl-NL"/>
              </w:rPr>
              <w:br/>
              <w:t>Vraagspecificatie  4.4.2</w:t>
            </w:r>
          </w:p>
        </w:tc>
        <w:tc>
          <w:tcPr>
            <w:tcW w:w="4566" w:type="dxa"/>
            <w:shd w:val="clear" w:color="auto" w:fill="auto"/>
            <w:hideMark/>
          </w:tcPr>
          <w:p w14:paraId="067D4394" w14:textId="77777777" w:rsidR="009815C6" w:rsidRPr="009815C6" w:rsidRDefault="009815C6" w:rsidP="009815C6">
            <w:pPr>
              <w:spacing w:after="0" w:line="240" w:lineRule="auto"/>
              <w:rPr>
                <w:rFonts w:ascii="Calibri" w:eastAsia="Times New Roman" w:hAnsi="Calibri" w:cs="Calibri"/>
                <w:color w:val="000000"/>
                <w:lang w:eastAsia="nl-NL"/>
              </w:rPr>
            </w:pPr>
            <w:proofErr w:type="spellStart"/>
            <w:r w:rsidRPr="009815C6">
              <w:rPr>
                <w:rFonts w:ascii="Calibri" w:eastAsia="Times New Roman" w:hAnsi="Calibri" w:cs="Calibri"/>
                <w:color w:val="000000"/>
                <w:lang w:eastAsia="nl-NL"/>
              </w:rPr>
              <w:t>Ovename</w:t>
            </w:r>
            <w:proofErr w:type="spellEnd"/>
            <w:r w:rsidRPr="009815C6">
              <w:rPr>
                <w:rFonts w:ascii="Calibri" w:eastAsia="Times New Roman" w:hAnsi="Calibri" w:cs="Calibri"/>
                <w:color w:val="000000"/>
                <w:lang w:eastAsia="nl-NL"/>
              </w:rPr>
              <w:t xml:space="preserve"> aan 10% van de aanschafprijs lijkt geen </w:t>
            </w:r>
            <w:proofErr w:type="spellStart"/>
            <w:r w:rsidRPr="009815C6">
              <w:rPr>
                <w:rFonts w:ascii="Calibri" w:eastAsia="Times New Roman" w:hAnsi="Calibri" w:cs="Calibri"/>
                <w:color w:val="000000"/>
                <w:lang w:eastAsia="nl-NL"/>
              </w:rPr>
              <w:t>reele</w:t>
            </w:r>
            <w:proofErr w:type="spellEnd"/>
            <w:r w:rsidRPr="009815C6">
              <w:rPr>
                <w:rFonts w:ascii="Calibri" w:eastAsia="Times New Roman" w:hAnsi="Calibri" w:cs="Calibri"/>
                <w:color w:val="000000"/>
                <w:lang w:eastAsia="nl-NL"/>
              </w:rPr>
              <w:t xml:space="preserve"> waardebepaling in het bijzonder bij tussentijdse </w:t>
            </w:r>
            <w:proofErr w:type="spellStart"/>
            <w:r w:rsidRPr="009815C6">
              <w:rPr>
                <w:rFonts w:ascii="Calibri" w:eastAsia="Times New Roman" w:hAnsi="Calibri" w:cs="Calibri"/>
                <w:color w:val="000000"/>
                <w:lang w:eastAsia="nl-NL"/>
              </w:rPr>
              <w:t>beeindiging</w:t>
            </w:r>
            <w:proofErr w:type="spellEnd"/>
            <w:r w:rsidRPr="009815C6">
              <w:rPr>
                <w:rFonts w:ascii="Calibri" w:eastAsia="Times New Roman" w:hAnsi="Calibri" w:cs="Calibri"/>
                <w:color w:val="000000"/>
                <w:lang w:eastAsia="nl-NL"/>
              </w:rPr>
              <w:t xml:space="preserve"> van de </w:t>
            </w:r>
            <w:proofErr w:type="spellStart"/>
            <w:r w:rsidRPr="009815C6">
              <w:rPr>
                <w:rFonts w:ascii="Calibri" w:eastAsia="Times New Roman" w:hAnsi="Calibri" w:cs="Calibri"/>
                <w:color w:val="000000"/>
                <w:lang w:eastAsia="nl-NL"/>
              </w:rPr>
              <w:t>distributie-overeenkomst</w:t>
            </w:r>
            <w:proofErr w:type="spellEnd"/>
            <w:r w:rsidRPr="009815C6">
              <w:rPr>
                <w:rFonts w:ascii="Calibri" w:eastAsia="Times New Roman" w:hAnsi="Calibri" w:cs="Calibri"/>
                <w:color w:val="000000"/>
                <w:lang w:eastAsia="nl-NL"/>
              </w:rPr>
              <w:t>. Graag ontvangen we van NLPO een voorbeeldberekening hoe zij tot deze waarde komt of nader gespecificeerde afkoopregeling.</w:t>
            </w:r>
          </w:p>
        </w:tc>
        <w:tc>
          <w:tcPr>
            <w:tcW w:w="2977" w:type="dxa"/>
            <w:shd w:val="clear" w:color="auto" w:fill="auto"/>
            <w:hideMark/>
          </w:tcPr>
          <w:p w14:paraId="0E9649A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3693563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Deze overname optie is geschrapt.</w:t>
            </w:r>
          </w:p>
        </w:tc>
      </w:tr>
      <w:tr w:rsidR="009815C6" w:rsidRPr="009815C6" w14:paraId="5A43884B" w14:textId="77777777" w:rsidTr="009815C6">
        <w:trPr>
          <w:trHeight w:val="864"/>
        </w:trPr>
        <w:tc>
          <w:tcPr>
            <w:tcW w:w="940" w:type="dxa"/>
            <w:shd w:val="clear" w:color="auto" w:fill="auto"/>
            <w:hideMark/>
          </w:tcPr>
          <w:p w14:paraId="3B4F73D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10</w:t>
            </w:r>
          </w:p>
        </w:tc>
        <w:tc>
          <w:tcPr>
            <w:tcW w:w="3000" w:type="dxa"/>
            <w:shd w:val="clear" w:color="auto" w:fill="auto"/>
            <w:hideMark/>
          </w:tcPr>
          <w:p w14:paraId="721C58E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 4.4.4</w:t>
            </w:r>
          </w:p>
        </w:tc>
        <w:tc>
          <w:tcPr>
            <w:tcW w:w="4566" w:type="dxa"/>
            <w:shd w:val="clear" w:color="auto" w:fill="auto"/>
            <w:hideMark/>
          </w:tcPr>
          <w:p w14:paraId="448C30B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Energie en huur wordt als prognose opgevoerd. Om kostentransparant te zijn en laagst mogelijke prijs te kunnen aanbieden stellen we voor om de energie- en huurkosten op basis van indexatie op te nemen in de overeenkomst. Als dit niet mogelijk is zal een risico-opslag toegevoegd worden. Is dit wat NLPO voor ogen heeft met deze bepaling?</w:t>
            </w:r>
          </w:p>
        </w:tc>
        <w:tc>
          <w:tcPr>
            <w:tcW w:w="2977" w:type="dxa"/>
            <w:shd w:val="clear" w:color="auto" w:fill="auto"/>
            <w:hideMark/>
          </w:tcPr>
          <w:p w14:paraId="51350A4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7AD86264" w14:textId="77777777"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Voor zowel huur als energie is in de raamovereenkomst een indexatiemogelijkheid respectievelijk verrekenmogelijkheid opgenomen.</w:t>
            </w:r>
          </w:p>
        </w:tc>
      </w:tr>
      <w:tr w:rsidR="009815C6" w:rsidRPr="009815C6" w14:paraId="6A62E129" w14:textId="77777777" w:rsidTr="009815C6">
        <w:trPr>
          <w:trHeight w:val="2592"/>
        </w:trPr>
        <w:tc>
          <w:tcPr>
            <w:tcW w:w="940" w:type="dxa"/>
            <w:shd w:val="clear" w:color="auto" w:fill="auto"/>
            <w:hideMark/>
          </w:tcPr>
          <w:p w14:paraId="6BD089B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11</w:t>
            </w:r>
          </w:p>
        </w:tc>
        <w:tc>
          <w:tcPr>
            <w:tcW w:w="3000" w:type="dxa"/>
            <w:shd w:val="clear" w:color="auto" w:fill="auto"/>
            <w:hideMark/>
          </w:tcPr>
          <w:p w14:paraId="3A406E4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2.2  pagina 9</w:t>
            </w:r>
          </w:p>
        </w:tc>
        <w:tc>
          <w:tcPr>
            <w:tcW w:w="4566" w:type="dxa"/>
            <w:shd w:val="clear" w:color="auto" w:fill="auto"/>
            <w:hideMark/>
          </w:tcPr>
          <w:p w14:paraId="54D44F9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Voor de dekkingspercentage wordt enkel uitgegaan van de theoretische toetsing door RDI volgens ITU1546-2. Deze sluiten niet aan bij metingen in het veld. Hoe staat dit in verhouding tot de veldmetingen welke eventueel op kosten van de operator worden doorgevoerd volgens VTO 4.1.1?</w:t>
            </w:r>
          </w:p>
        </w:tc>
        <w:tc>
          <w:tcPr>
            <w:tcW w:w="2977" w:type="dxa"/>
            <w:shd w:val="clear" w:color="auto" w:fill="auto"/>
            <w:hideMark/>
          </w:tcPr>
          <w:p w14:paraId="6FFF63D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33A5600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Eis VTO 4.1.1. schrijft geen veld meting voor maar een theoretische meting. Zie ook de Vraagspecificatie 'Bovenstaande eisen ten aanzien van de dekkingspercentages gelden conform de (theoretische) toetsing zoals die door RDI zal worden uitgevoerd. (Dus niet op basis van veldmeting.)'. NLPO zal in principe geen veldmetingen laten uitvoeren om dekkingspercentages te toetsen.</w:t>
            </w:r>
          </w:p>
        </w:tc>
      </w:tr>
      <w:tr w:rsidR="009815C6" w:rsidRPr="009815C6" w14:paraId="28AE1EF1" w14:textId="77777777" w:rsidTr="009815C6">
        <w:trPr>
          <w:trHeight w:val="2016"/>
        </w:trPr>
        <w:tc>
          <w:tcPr>
            <w:tcW w:w="940" w:type="dxa"/>
            <w:shd w:val="clear" w:color="auto" w:fill="auto"/>
            <w:hideMark/>
          </w:tcPr>
          <w:p w14:paraId="6E64C73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12</w:t>
            </w:r>
          </w:p>
        </w:tc>
        <w:tc>
          <w:tcPr>
            <w:tcW w:w="3000" w:type="dxa"/>
            <w:shd w:val="clear" w:color="auto" w:fill="auto"/>
            <w:hideMark/>
          </w:tcPr>
          <w:p w14:paraId="2B3AB92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2.2  pagina 11</w:t>
            </w:r>
          </w:p>
        </w:tc>
        <w:tc>
          <w:tcPr>
            <w:tcW w:w="4566" w:type="dxa"/>
            <w:shd w:val="clear" w:color="auto" w:fill="auto"/>
            <w:hideMark/>
          </w:tcPr>
          <w:p w14:paraId="06DF08D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Er wordt aangegeven om, waar mogelijk, hergebruik te laten plaatsvinden van bestaande apparatuur en faciliteiten. Dit kan alleen de informatie van de huidige vergunninghouders vooraf aangeleverd worden. Kan deze lijst worden aangeleverd?</w:t>
            </w:r>
          </w:p>
        </w:tc>
        <w:tc>
          <w:tcPr>
            <w:tcW w:w="2977" w:type="dxa"/>
            <w:shd w:val="clear" w:color="auto" w:fill="auto"/>
            <w:hideMark/>
          </w:tcPr>
          <w:p w14:paraId="3562952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22015888" w14:textId="0F4BB8D4"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NLPO zal de bij het onderzoek naar de tijdelijke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opgestelde bijlage ter beschikking stellen waarin voor een deel van de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de gebruikte apparatuur is gespecificeerd. Tevens zal een lijst met contactpersonen</w:t>
            </w:r>
            <w:r w:rsidR="007332DD">
              <w:rPr>
                <w:rFonts w:ascii="Calibri" w:eastAsia="Times New Roman" w:hAnsi="Calibri" w:cs="Calibri"/>
                <w:color w:val="000000"/>
                <w:lang w:eastAsia="nl-NL"/>
              </w:rPr>
              <w:t xml:space="preserve"> </w:t>
            </w:r>
            <w:r w:rsidRPr="009815C6">
              <w:rPr>
                <w:rFonts w:ascii="Calibri" w:eastAsia="Times New Roman" w:hAnsi="Calibri" w:cs="Calibri"/>
                <w:color w:val="000000"/>
                <w:lang w:eastAsia="nl-NL"/>
              </w:rPr>
              <w:t>en in overleg met de omroepen (dus na keuze van de lokale omroepen) beschikbaar worden gesteld.</w:t>
            </w:r>
          </w:p>
        </w:tc>
      </w:tr>
      <w:tr w:rsidR="009815C6" w:rsidRPr="009815C6" w14:paraId="373CCF8A" w14:textId="77777777" w:rsidTr="009815C6">
        <w:trPr>
          <w:trHeight w:val="1152"/>
        </w:trPr>
        <w:tc>
          <w:tcPr>
            <w:tcW w:w="940" w:type="dxa"/>
            <w:shd w:val="clear" w:color="auto" w:fill="auto"/>
            <w:hideMark/>
          </w:tcPr>
          <w:p w14:paraId="3AE5CC9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13</w:t>
            </w:r>
          </w:p>
        </w:tc>
        <w:tc>
          <w:tcPr>
            <w:tcW w:w="3000" w:type="dxa"/>
            <w:shd w:val="clear" w:color="auto" w:fill="auto"/>
            <w:hideMark/>
          </w:tcPr>
          <w:p w14:paraId="1CE733F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Eis TKB3</w:t>
            </w:r>
          </w:p>
        </w:tc>
        <w:tc>
          <w:tcPr>
            <w:tcW w:w="4566" w:type="dxa"/>
            <w:shd w:val="clear" w:color="auto" w:fill="auto"/>
            <w:hideMark/>
          </w:tcPr>
          <w:p w14:paraId="6CC18CE1" w14:textId="0C33E8A9"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Zender op zenderniveau tussen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is technisch niet mogelijk omdat het verschillende frequenties en MUX configuraties betreft. Wordt hier audiosynchronisatie bedoeld? Audiodelay wordt voor diverse factoren bepaald waaronder </w:t>
            </w:r>
            <w:r w:rsidRPr="009815C6">
              <w:rPr>
                <w:rFonts w:ascii="Calibri" w:eastAsia="Times New Roman" w:hAnsi="Calibri" w:cs="Calibri"/>
                <w:color w:val="000000"/>
                <w:lang w:eastAsia="nl-NL"/>
              </w:rPr>
              <w:lastRenderedPageBreak/>
              <w:t>de MUX software, audio-</w:t>
            </w:r>
            <w:proofErr w:type="spellStart"/>
            <w:r w:rsidRPr="009815C6">
              <w:rPr>
                <w:rFonts w:ascii="Calibri" w:eastAsia="Times New Roman" w:hAnsi="Calibri" w:cs="Calibri"/>
                <w:color w:val="000000"/>
                <w:lang w:eastAsia="nl-NL"/>
              </w:rPr>
              <w:t>coding</w:t>
            </w:r>
            <w:proofErr w:type="spellEnd"/>
            <w:r w:rsidRPr="009815C6">
              <w:rPr>
                <w:rFonts w:ascii="Calibri" w:eastAsia="Times New Roman" w:hAnsi="Calibri" w:cs="Calibri"/>
                <w:color w:val="000000"/>
                <w:lang w:eastAsia="nl-NL"/>
              </w:rPr>
              <w:t xml:space="preserve">, contributie- en distributiepaden. Exacte audiosynchronisatie is om deze reden niet mogelijk. Daarbij zal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met de </w:t>
            </w:r>
            <w:r w:rsidR="007332DD" w:rsidRPr="009815C6">
              <w:rPr>
                <w:rFonts w:ascii="Calibri" w:eastAsia="Times New Roman" w:hAnsi="Calibri" w:cs="Calibri"/>
                <w:color w:val="000000"/>
                <w:lang w:eastAsia="nl-NL"/>
              </w:rPr>
              <w:t>kortste</w:t>
            </w:r>
            <w:r w:rsidRPr="009815C6">
              <w:rPr>
                <w:rFonts w:ascii="Calibri" w:eastAsia="Times New Roman" w:hAnsi="Calibri" w:cs="Calibri"/>
                <w:color w:val="000000"/>
                <w:lang w:eastAsia="nl-NL"/>
              </w:rPr>
              <w:t xml:space="preserve"> audiodoorlooptijd altijd de master moeten zijn. Hoe ziet NLPO dit?</w:t>
            </w:r>
          </w:p>
        </w:tc>
        <w:tc>
          <w:tcPr>
            <w:tcW w:w="2977" w:type="dxa"/>
            <w:shd w:val="clear" w:color="auto" w:fill="auto"/>
            <w:hideMark/>
          </w:tcPr>
          <w:p w14:paraId="5846812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 </w:t>
            </w:r>
          </w:p>
        </w:tc>
        <w:tc>
          <w:tcPr>
            <w:tcW w:w="3969" w:type="dxa"/>
            <w:shd w:val="clear" w:color="auto" w:fill="auto"/>
            <w:hideMark/>
          </w:tcPr>
          <w:p w14:paraId="23D4D6AF" w14:textId="77777777"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 xml:space="preserve">NLPO bedoelt hier audiosynchronisatie, de NLPO wijst na keuze omroepen de master aan. </w:t>
            </w:r>
          </w:p>
        </w:tc>
      </w:tr>
      <w:tr w:rsidR="009815C6" w:rsidRPr="009815C6" w14:paraId="39F4D7BD" w14:textId="77777777" w:rsidTr="009815C6">
        <w:trPr>
          <w:trHeight w:val="864"/>
        </w:trPr>
        <w:tc>
          <w:tcPr>
            <w:tcW w:w="940" w:type="dxa"/>
            <w:shd w:val="clear" w:color="auto" w:fill="auto"/>
            <w:hideMark/>
          </w:tcPr>
          <w:p w14:paraId="32F2C46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14</w:t>
            </w:r>
          </w:p>
        </w:tc>
        <w:tc>
          <w:tcPr>
            <w:tcW w:w="3000" w:type="dxa"/>
            <w:shd w:val="clear" w:color="auto" w:fill="auto"/>
            <w:hideMark/>
          </w:tcPr>
          <w:p w14:paraId="2665E3D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5.2</w:t>
            </w:r>
          </w:p>
        </w:tc>
        <w:tc>
          <w:tcPr>
            <w:tcW w:w="4566" w:type="dxa"/>
            <w:shd w:val="clear" w:color="auto" w:fill="auto"/>
            <w:hideMark/>
          </w:tcPr>
          <w:p w14:paraId="2DE24D9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Vaste vergoeding zonder indexering leidt tot onnodige kostenverhoging. Zie vraag 11. Hoe gaat NLPO hier mee om?</w:t>
            </w:r>
          </w:p>
        </w:tc>
        <w:tc>
          <w:tcPr>
            <w:tcW w:w="2977" w:type="dxa"/>
            <w:shd w:val="clear" w:color="auto" w:fill="auto"/>
            <w:hideMark/>
          </w:tcPr>
          <w:p w14:paraId="5DC7E40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883237A" w14:textId="77777777"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Voor zowel huur als energie is in de raamovereenkomst een indexatiemogelijkheid respectievelijk verrekenmogelijkheid opgenomen.</w:t>
            </w:r>
          </w:p>
        </w:tc>
      </w:tr>
      <w:tr w:rsidR="009815C6" w:rsidRPr="009815C6" w14:paraId="09087376" w14:textId="77777777" w:rsidTr="009815C6">
        <w:trPr>
          <w:trHeight w:val="1440"/>
        </w:trPr>
        <w:tc>
          <w:tcPr>
            <w:tcW w:w="940" w:type="dxa"/>
            <w:shd w:val="clear" w:color="auto" w:fill="auto"/>
            <w:hideMark/>
          </w:tcPr>
          <w:p w14:paraId="01052E0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15</w:t>
            </w:r>
          </w:p>
        </w:tc>
        <w:tc>
          <w:tcPr>
            <w:tcW w:w="3000" w:type="dxa"/>
            <w:shd w:val="clear" w:color="auto" w:fill="auto"/>
            <w:hideMark/>
          </w:tcPr>
          <w:p w14:paraId="3EC3772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5.6</w:t>
            </w:r>
          </w:p>
        </w:tc>
        <w:tc>
          <w:tcPr>
            <w:tcW w:w="4566" w:type="dxa"/>
            <w:shd w:val="clear" w:color="auto" w:fill="auto"/>
            <w:hideMark/>
          </w:tcPr>
          <w:p w14:paraId="6BBE8D8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Boete clausule is van toepassing op Service levels. Dit is mogelijk op locaties van operator, maar kan op locaties van omroepen niet worden gegarandeerd indien er geen 24/7 toegang is voor de Zenderoperator. Hoe gaat NLPO daar mee om?</w:t>
            </w:r>
          </w:p>
        </w:tc>
        <w:tc>
          <w:tcPr>
            <w:tcW w:w="2977" w:type="dxa"/>
            <w:shd w:val="clear" w:color="auto" w:fill="auto"/>
            <w:hideMark/>
          </w:tcPr>
          <w:p w14:paraId="084927A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7981F106" w14:textId="77777777"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De boete geldt alleen indien het niet behalen van de service levels te wijten is aan de opdrachtnemer. Het artikel is aangepast zodat duidelijk is dat alleen bij een toerekenbare tekortkoming, de boete van toepassing is</w:t>
            </w:r>
          </w:p>
        </w:tc>
      </w:tr>
      <w:tr w:rsidR="009815C6" w:rsidRPr="009815C6" w14:paraId="7064ACF8" w14:textId="77777777" w:rsidTr="009815C6">
        <w:trPr>
          <w:trHeight w:val="2304"/>
        </w:trPr>
        <w:tc>
          <w:tcPr>
            <w:tcW w:w="940" w:type="dxa"/>
            <w:shd w:val="clear" w:color="auto" w:fill="auto"/>
            <w:hideMark/>
          </w:tcPr>
          <w:p w14:paraId="2442282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16</w:t>
            </w:r>
          </w:p>
        </w:tc>
        <w:tc>
          <w:tcPr>
            <w:tcW w:w="3000" w:type="dxa"/>
            <w:shd w:val="clear" w:color="auto" w:fill="auto"/>
            <w:hideMark/>
          </w:tcPr>
          <w:p w14:paraId="190AE8B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11.2</w:t>
            </w:r>
          </w:p>
        </w:tc>
        <w:tc>
          <w:tcPr>
            <w:tcW w:w="4566" w:type="dxa"/>
            <w:shd w:val="clear" w:color="auto" w:fill="auto"/>
            <w:hideMark/>
          </w:tcPr>
          <w:p w14:paraId="528E5CB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Met dit artikel verschuift NLPO haar verantwoordelijkheden naar de operator. Dit artikel maakt deelname voor operator zeer risicovol en daarmee wellicht onmogelijk. Graag zien we aan deze bepaling toegevoegd worden dat de NLPO de overeenkomst verplicht overdraagt aan de vergunninghouders.</w:t>
            </w:r>
          </w:p>
        </w:tc>
        <w:tc>
          <w:tcPr>
            <w:tcW w:w="2977" w:type="dxa"/>
            <w:shd w:val="clear" w:color="auto" w:fill="auto"/>
            <w:hideMark/>
          </w:tcPr>
          <w:p w14:paraId="3A87C71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05ED01A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In de gevallen zoals opgesomd in artikel 11.2 is er geen financieringsmogelijkheid meer door de NLPO. De vraag is of de lokale omroepen die financiering wel kunnen uitvoeren. Eventueel kan NLPO in die situatie aan de vergunninghouders een vrijwillige overdracht van de verplichtingen uit de overeenkomst </w:t>
            </w:r>
            <w:r w:rsidRPr="009815C6">
              <w:rPr>
                <w:rFonts w:ascii="Calibri" w:eastAsia="Times New Roman" w:hAnsi="Calibri" w:cs="Calibri"/>
                <w:color w:val="000000"/>
                <w:lang w:eastAsia="nl-NL"/>
              </w:rPr>
              <w:lastRenderedPageBreak/>
              <w:t>vragen, ze verplicht stellen is niet mogelijk.</w:t>
            </w:r>
          </w:p>
        </w:tc>
      </w:tr>
      <w:tr w:rsidR="009815C6" w:rsidRPr="009815C6" w14:paraId="0B7E975E" w14:textId="77777777" w:rsidTr="009815C6">
        <w:trPr>
          <w:trHeight w:val="2304"/>
        </w:trPr>
        <w:tc>
          <w:tcPr>
            <w:tcW w:w="940" w:type="dxa"/>
            <w:shd w:val="clear" w:color="auto" w:fill="auto"/>
            <w:hideMark/>
          </w:tcPr>
          <w:p w14:paraId="614C8F5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17</w:t>
            </w:r>
          </w:p>
        </w:tc>
        <w:tc>
          <w:tcPr>
            <w:tcW w:w="3000" w:type="dxa"/>
            <w:shd w:val="clear" w:color="auto" w:fill="auto"/>
            <w:hideMark/>
          </w:tcPr>
          <w:p w14:paraId="5124EAE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11.4</w:t>
            </w:r>
          </w:p>
        </w:tc>
        <w:tc>
          <w:tcPr>
            <w:tcW w:w="4566" w:type="dxa"/>
            <w:shd w:val="clear" w:color="auto" w:fill="auto"/>
            <w:hideMark/>
          </w:tcPr>
          <w:p w14:paraId="105587E0" w14:textId="515DB693"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Ontbinding indien er geen lokale vergunninghouders meer deelnemen is naar inzicht van operator niet mogelijk indien er nog andere partijen deelnemen in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De overeenkomst zou overgedragen moeten worden aan de overgebleven partijen in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w:t>
            </w:r>
          </w:p>
        </w:tc>
        <w:tc>
          <w:tcPr>
            <w:tcW w:w="2977" w:type="dxa"/>
            <w:shd w:val="clear" w:color="auto" w:fill="auto"/>
            <w:hideMark/>
          </w:tcPr>
          <w:p w14:paraId="3C4A66E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0D5B880A" w14:textId="4126ABD0"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Indien er geen lokale vergunninghouders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meer zijn, is er ook geen dienstverlening meer mogelijk. Dus zal in dat geval de overeenkomst voor dat specifieke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w:t>
            </w:r>
            <w:r w:rsidR="00F64A65" w:rsidRPr="009815C6">
              <w:rPr>
                <w:rFonts w:ascii="Calibri" w:eastAsia="Times New Roman" w:hAnsi="Calibri" w:cs="Calibri"/>
                <w:color w:val="000000"/>
                <w:lang w:eastAsia="nl-NL"/>
              </w:rPr>
              <w:t>kosteloos</w:t>
            </w:r>
            <w:r w:rsidRPr="009815C6">
              <w:rPr>
                <w:rFonts w:ascii="Calibri" w:eastAsia="Times New Roman" w:hAnsi="Calibri" w:cs="Calibri"/>
                <w:color w:val="000000"/>
                <w:lang w:eastAsia="nl-NL"/>
              </w:rPr>
              <w:t xml:space="preserve"> worden </w:t>
            </w:r>
            <w:r w:rsidR="00F64A65" w:rsidRPr="009815C6">
              <w:rPr>
                <w:rFonts w:ascii="Calibri" w:eastAsia="Times New Roman" w:hAnsi="Calibri" w:cs="Calibri"/>
                <w:color w:val="000000"/>
                <w:lang w:eastAsia="nl-NL"/>
              </w:rPr>
              <w:t>beëindigd</w:t>
            </w:r>
            <w:r w:rsidRPr="009815C6">
              <w:rPr>
                <w:rFonts w:ascii="Calibri" w:eastAsia="Times New Roman" w:hAnsi="Calibri" w:cs="Calibri"/>
                <w:color w:val="000000"/>
                <w:lang w:eastAsia="nl-NL"/>
              </w:rPr>
              <w:t>. In geval er geen PO vergunninghouders zijn maar wel CO vergunninghouders zijn, blijft de overeenkomst bestaan.</w:t>
            </w:r>
          </w:p>
        </w:tc>
      </w:tr>
      <w:tr w:rsidR="009815C6" w:rsidRPr="009815C6" w14:paraId="04B84622" w14:textId="77777777" w:rsidTr="009815C6">
        <w:trPr>
          <w:trHeight w:val="4584"/>
        </w:trPr>
        <w:tc>
          <w:tcPr>
            <w:tcW w:w="940" w:type="dxa"/>
            <w:shd w:val="clear" w:color="auto" w:fill="auto"/>
            <w:hideMark/>
          </w:tcPr>
          <w:p w14:paraId="12819950"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18</w:t>
            </w:r>
          </w:p>
        </w:tc>
        <w:tc>
          <w:tcPr>
            <w:tcW w:w="3000" w:type="dxa"/>
            <w:shd w:val="clear" w:color="auto" w:fill="auto"/>
            <w:hideMark/>
          </w:tcPr>
          <w:p w14:paraId="10E3535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11.5</w:t>
            </w:r>
          </w:p>
        </w:tc>
        <w:tc>
          <w:tcPr>
            <w:tcW w:w="4566" w:type="dxa"/>
            <w:shd w:val="clear" w:color="auto" w:fill="auto"/>
            <w:hideMark/>
          </w:tcPr>
          <w:p w14:paraId="7C007901" w14:textId="6AC39E3D"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Indien aanvangsinvestering voor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met hogere IGV zijn gedaan zouden voor de kosten om het netwerk te verkleinen een afkoopregeling moeten worden getroffen. De lagere maandlasten kunnen alleen betrekking hebben op lopende kosten. (huur en energie)</w:t>
            </w:r>
          </w:p>
        </w:tc>
        <w:tc>
          <w:tcPr>
            <w:tcW w:w="2977" w:type="dxa"/>
            <w:shd w:val="clear" w:color="auto" w:fill="auto"/>
            <w:hideMark/>
          </w:tcPr>
          <w:p w14:paraId="392F241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60890CAE" w14:textId="039A14D2"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Opdrachtgever (en omroepen) gaan verplichtingen aan op basis van de door aanbieder afgegeven aanbiedingen (bij definitieve aanbieding). Indien deze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gebaseerd zijn op (het op dat moment) aantal vergunninghouders van 8 of hoger, dan blijft dat in principe gehandhaafd. Mochten er echter gedurende de looptijd problemen ontstaan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doordat vergunninghouders door het afgenomen aantal vergunninghouders, niet meer aan hun </w:t>
            </w:r>
            <w:proofErr w:type="spellStart"/>
            <w:r w:rsidRPr="009815C6">
              <w:rPr>
                <w:rFonts w:ascii="Calibri" w:eastAsia="Times New Roman" w:hAnsi="Calibri" w:cs="Calibri"/>
                <w:color w:val="000000"/>
                <w:lang w:eastAsia="nl-NL"/>
              </w:rPr>
              <w:t>financiele</w:t>
            </w:r>
            <w:proofErr w:type="spellEnd"/>
            <w:r w:rsidRPr="009815C6">
              <w:rPr>
                <w:rFonts w:ascii="Calibri" w:eastAsia="Times New Roman" w:hAnsi="Calibri" w:cs="Calibri"/>
                <w:color w:val="000000"/>
                <w:lang w:eastAsia="nl-NL"/>
              </w:rPr>
              <w:t xml:space="preserve"> verplichtingen kunnen voldoen, dan zal Opdrachtgever in overleg treden met de (dan) opdrachtnemer om een passende oplossing te vinden om de kosten voor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(indien mogelijk) ter verlagen.</w:t>
            </w:r>
          </w:p>
        </w:tc>
      </w:tr>
      <w:tr w:rsidR="009815C6" w:rsidRPr="009815C6" w14:paraId="6CC47490" w14:textId="77777777" w:rsidTr="009815C6">
        <w:trPr>
          <w:trHeight w:val="5184"/>
        </w:trPr>
        <w:tc>
          <w:tcPr>
            <w:tcW w:w="940" w:type="dxa"/>
            <w:shd w:val="clear" w:color="auto" w:fill="auto"/>
            <w:hideMark/>
          </w:tcPr>
          <w:p w14:paraId="2C672E7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19</w:t>
            </w:r>
          </w:p>
        </w:tc>
        <w:tc>
          <w:tcPr>
            <w:tcW w:w="3000" w:type="dxa"/>
            <w:shd w:val="clear" w:color="auto" w:fill="auto"/>
            <w:hideMark/>
          </w:tcPr>
          <w:p w14:paraId="0D6D5F5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11.8</w:t>
            </w:r>
          </w:p>
        </w:tc>
        <w:tc>
          <w:tcPr>
            <w:tcW w:w="4566" w:type="dxa"/>
            <w:shd w:val="clear" w:color="auto" w:fill="auto"/>
            <w:hideMark/>
          </w:tcPr>
          <w:p w14:paraId="37EF98F2" w14:textId="77777777"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De door NLPO voorgestelde afkoopsommen zijn zeer laag. Wij stellen voor de afkoopsommen met 50% te verhogen.</w:t>
            </w:r>
          </w:p>
        </w:tc>
        <w:tc>
          <w:tcPr>
            <w:tcW w:w="2977" w:type="dxa"/>
            <w:shd w:val="clear" w:color="auto" w:fill="auto"/>
            <w:hideMark/>
          </w:tcPr>
          <w:p w14:paraId="7DCB5DE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7DDEF0AF" w14:textId="401E060C"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Niet akkoord. Uitgaande van een vooruitbetaling</w:t>
            </w:r>
            <w:r w:rsidR="00F64A65">
              <w:rPr>
                <w:rStyle w:val="Voetnootmarkering"/>
                <w:rFonts w:ascii="Calibri" w:eastAsia="Times New Roman" w:hAnsi="Calibri" w:cs="Calibri"/>
                <w:color w:val="000000"/>
                <w:lang w:eastAsia="nl-NL"/>
              </w:rPr>
              <w:footnoteReference w:id="1"/>
            </w:r>
            <w:r w:rsidRPr="009815C6">
              <w:rPr>
                <w:rFonts w:ascii="Calibri" w:eastAsia="Times New Roman" w:hAnsi="Calibri" w:cs="Calibri"/>
                <w:color w:val="000000"/>
                <w:lang w:eastAsia="nl-NL"/>
              </w:rPr>
              <w:t xml:space="preserve"> van de maandlasten (voor het PO deel) voor 1 of meerdere jaren dan blijven in dat geval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de energie en huurkosten over voor de resterende contractperiode. Die kan aanbieder voor 6 jaar hebben gecontracteerd. Opdrachtgever gaat er vanuit dan de investeringen na twee/drie jaar zijn gedekt. Dus is alleen nog dekking benodigd voor aantoonbare kosten voor huur en energie. (De diensten worden immers </w:t>
            </w:r>
            <w:r w:rsidR="00F64A65" w:rsidRPr="009815C6">
              <w:rPr>
                <w:rFonts w:ascii="Calibri" w:eastAsia="Times New Roman" w:hAnsi="Calibri" w:cs="Calibri"/>
                <w:color w:val="000000"/>
                <w:lang w:eastAsia="nl-NL"/>
              </w:rPr>
              <w:t>beëindigd</w:t>
            </w:r>
            <w:r w:rsidRPr="009815C6">
              <w:rPr>
                <w:rFonts w:ascii="Calibri" w:eastAsia="Times New Roman" w:hAnsi="Calibri" w:cs="Calibri"/>
                <w:color w:val="000000"/>
                <w:lang w:eastAsia="nl-NL"/>
              </w:rPr>
              <w:t xml:space="preserve"> dus een deel van de lasten valt voor netwerkoperator ook weg.) Gebaseerd op cijfers zijn huur/energiekosten ongeveer 20% van de totale kosten, waarmee een 30% afkoop </w:t>
            </w:r>
            <w:r w:rsidR="00F64A65" w:rsidRPr="009815C6">
              <w:rPr>
                <w:rFonts w:ascii="Calibri" w:eastAsia="Times New Roman" w:hAnsi="Calibri" w:cs="Calibri"/>
                <w:color w:val="000000"/>
                <w:lang w:eastAsia="nl-NL"/>
              </w:rPr>
              <w:t>reëel</w:t>
            </w:r>
            <w:r w:rsidRPr="009815C6">
              <w:rPr>
                <w:rFonts w:ascii="Calibri" w:eastAsia="Times New Roman" w:hAnsi="Calibri" w:cs="Calibri"/>
                <w:color w:val="000000"/>
                <w:lang w:eastAsia="nl-NL"/>
              </w:rPr>
              <w:t xml:space="preserve"> is. Wel heeft Opdrachtgever de afnemende percentages bij de aangegeven resterende looptijden aangepast. Voor elke resterende looptijd geldt nu het afkooppercentage van 30%.</w:t>
            </w:r>
          </w:p>
        </w:tc>
      </w:tr>
      <w:tr w:rsidR="009815C6" w:rsidRPr="009815C6" w14:paraId="74093D32" w14:textId="77777777" w:rsidTr="009815C6">
        <w:trPr>
          <w:trHeight w:val="3456"/>
        </w:trPr>
        <w:tc>
          <w:tcPr>
            <w:tcW w:w="940" w:type="dxa"/>
            <w:shd w:val="clear" w:color="auto" w:fill="auto"/>
            <w:hideMark/>
          </w:tcPr>
          <w:p w14:paraId="47B8B66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20</w:t>
            </w:r>
          </w:p>
        </w:tc>
        <w:tc>
          <w:tcPr>
            <w:tcW w:w="3000" w:type="dxa"/>
            <w:shd w:val="clear" w:color="auto" w:fill="auto"/>
            <w:hideMark/>
          </w:tcPr>
          <w:p w14:paraId="143AF55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Algemeen</w:t>
            </w:r>
          </w:p>
        </w:tc>
        <w:tc>
          <w:tcPr>
            <w:tcW w:w="4566" w:type="dxa"/>
            <w:shd w:val="clear" w:color="auto" w:fill="auto"/>
            <w:hideMark/>
          </w:tcPr>
          <w:p w14:paraId="34E22B7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https://www.tenderned.nl/ is niet toegankelijk voor nieuwe gebruikers (</w:t>
            </w:r>
            <w:proofErr w:type="spellStart"/>
            <w:r w:rsidRPr="009815C6">
              <w:rPr>
                <w:rFonts w:ascii="Calibri" w:eastAsia="Times New Roman" w:hAnsi="Calibri" w:cs="Calibri"/>
                <w:color w:val="000000"/>
                <w:lang w:eastAsia="nl-NL"/>
              </w:rPr>
              <w:t>dd</w:t>
            </w:r>
            <w:proofErr w:type="spellEnd"/>
            <w:r w:rsidRPr="009815C6">
              <w:rPr>
                <w:rFonts w:ascii="Calibri" w:eastAsia="Times New Roman" w:hAnsi="Calibri" w:cs="Calibri"/>
                <w:color w:val="000000"/>
                <w:lang w:eastAsia="nl-NL"/>
              </w:rPr>
              <w:t xml:space="preserve"> 2-7-2024)</w:t>
            </w:r>
          </w:p>
        </w:tc>
        <w:tc>
          <w:tcPr>
            <w:tcW w:w="2977" w:type="dxa"/>
            <w:shd w:val="clear" w:color="auto" w:fill="auto"/>
            <w:hideMark/>
          </w:tcPr>
          <w:p w14:paraId="63A99A64" w14:textId="6BF758EC"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Graag uw schriftelijke bevestiging van de mondelinge toezegging dat [</w:t>
            </w:r>
            <w:r>
              <w:rPr>
                <w:rFonts w:ascii="Calibri" w:eastAsia="Times New Roman" w:hAnsi="Calibri" w:cs="Calibri"/>
                <w:color w:val="000000"/>
                <w:lang w:eastAsia="nl-NL"/>
              </w:rPr>
              <w:t>aanbieder</w:t>
            </w:r>
            <w:r w:rsidRPr="009815C6">
              <w:rPr>
                <w:rFonts w:ascii="Calibri" w:eastAsia="Times New Roman" w:hAnsi="Calibri" w:cs="Calibri"/>
                <w:color w:val="000000"/>
                <w:lang w:eastAsia="nl-NL"/>
              </w:rPr>
              <w:t xml:space="preserve">] sowieso tender kan indienen per e-mail indien </w:t>
            </w:r>
            <w:proofErr w:type="spellStart"/>
            <w:r w:rsidRPr="009815C6">
              <w:rPr>
                <w:rFonts w:ascii="Calibri" w:eastAsia="Times New Roman" w:hAnsi="Calibri" w:cs="Calibri"/>
                <w:color w:val="000000"/>
                <w:lang w:eastAsia="nl-NL"/>
              </w:rPr>
              <w:t>Tenderned</w:t>
            </w:r>
            <w:proofErr w:type="spellEnd"/>
            <w:r w:rsidRPr="009815C6">
              <w:rPr>
                <w:rFonts w:ascii="Calibri" w:eastAsia="Times New Roman" w:hAnsi="Calibri" w:cs="Calibri"/>
                <w:color w:val="000000"/>
                <w:lang w:eastAsia="nl-NL"/>
              </w:rPr>
              <w:t xml:space="preserve"> niet toegankelijk is. Inmiddels is op 3-7-2024 toegang tot </w:t>
            </w:r>
            <w:proofErr w:type="spellStart"/>
            <w:r w:rsidRPr="009815C6">
              <w:rPr>
                <w:rFonts w:ascii="Calibri" w:eastAsia="Times New Roman" w:hAnsi="Calibri" w:cs="Calibri"/>
                <w:color w:val="000000"/>
                <w:lang w:eastAsia="nl-NL"/>
              </w:rPr>
              <w:t>Tenderned</w:t>
            </w:r>
            <w:proofErr w:type="spellEnd"/>
            <w:r w:rsidRPr="009815C6">
              <w:rPr>
                <w:rFonts w:ascii="Calibri" w:eastAsia="Times New Roman" w:hAnsi="Calibri" w:cs="Calibri"/>
                <w:color w:val="000000"/>
                <w:lang w:eastAsia="nl-NL"/>
              </w:rPr>
              <w:t xml:space="preserve"> verleend voor nieuwe accounts.</w:t>
            </w:r>
          </w:p>
        </w:tc>
        <w:tc>
          <w:tcPr>
            <w:tcW w:w="3969" w:type="dxa"/>
            <w:shd w:val="clear" w:color="auto" w:fill="auto"/>
            <w:hideMark/>
          </w:tcPr>
          <w:p w14:paraId="7C94D055" w14:textId="1456840B" w:rsidR="009815C6" w:rsidRPr="009815C6" w:rsidRDefault="009815C6" w:rsidP="009815C6">
            <w:pPr>
              <w:spacing w:after="0" w:line="240" w:lineRule="auto"/>
              <w:rPr>
                <w:rFonts w:ascii="Calibri" w:eastAsia="Times New Roman" w:hAnsi="Calibri" w:cs="Calibri"/>
                <w:lang w:eastAsia="nl-NL"/>
              </w:rPr>
            </w:pPr>
            <w:r w:rsidRPr="009815C6">
              <w:rPr>
                <w:rFonts w:ascii="Calibri" w:eastAsia="Times New Roman" w:hAnsi="Calibri" w:cs="Calibri"/>
                <w:lang w:eastAsia="nl-NL"/>
              </w:rPr>
              <w:t xml:space="preserve">Met de toegang tot </w:t>
            </w:r>
            <w:proofErr w:type="spellStart"/>
            <w:r w:rsidRPr="009815C6">
              <w:rPr>
                <w:rFonts w:ascii="Calibri" w:eastAsia="Times New Roman" w:hAnsi="Calibri" w:cs="Calibri"/>
                <w:lang w:eastAsia="nl-NL"/>
              </w:rPr>
              <w:t>TenderNed</w:t>
            </w:r>
            <w:proofErr w:type="spellEnd"/>
            <w:r w:rsidRPr="009815C6">
              <w:rPr>
                <w:rFonts w:ascii="Calibri" w:eastAsia="Times New Roman" w:hAnsi="Calibri" w:cs="Calibri"/>
                <w:lang w:eastAsia="nl-NL"/>
              </w:rPr>
              <w:t xml:space="preserve">, vervalt de toezegging dat de </w:t>
            </w:r>
            <w:r>
              <w:rPr>
                <w:rFonts w:ascii="Calibri" w:eastAsia="Times New Roman" w:hAnsi="Calibri" w:cs="Calibri"/>
                <w:lang w:eastAsia="nl-NL"/>
              </w:rPr>
              <w:t>aanbieder</w:t>
            </w:r>
            <w:r w:rsidRPr="009815C6">
              <w:rPr>
                <w:rFonts w:ascii="Calibri" w:eastAsia="Times New Roman" w:hAnsi="Calibri" w:cs="Calibri"/>
                <w:lang w:eastAsia="nl-NL"/>
              </w:rPr>
              <w:t xml:space="preserve"> per email een inschrijving kan indienen. Uw inschrijving moet via de kluis en via de berichtenfunctie worden ingediend.</w:t>
            </w:r>
          </w:p>
        </w:tc>
      </w:tr>
      <w:tr w:rsidR="009815C6" w:rsidRPr="009815C6" w14:paraId="391D98D4" w14:textId="77777777" w:rsidTr="00F64A65">
        <w:trPr>
          <w:trHeight w:val="5927"/>
        </w:trPr>
        <w:tc>
          <w:tcPr>
            <w:tcW w:w="940" w:type="dxa"/>
            <w:shd w:val="clear" w:color="auto" w:fill="auto"/>
            <w:hideMark/>
          </w:tcPr>
          <w:p w14:paraId="217D8BC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21</w:t>
            </w:r>
          </w:p>
        </w:tc>
        <w:tc>
          <w:tcPr>
            <w:tcW w:w="3000" w:type="dxa"/>
            <w:shd w:val="clear" w:color="auto" w:fill="auto"/>
            <w:hideMark/>
          </w:tcPr>
          <w:p w14:paraId="6868C27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Algemeen</w:t>
            </w:r>
          </w:p>
        </w:tc>
        <w:tc>
          <w:tcPr>
            <w:tcW w:w="4566" w:type="dxa"/>
            <w:shd w:val="clear" w:color="auto" w:fill="auto"/>
            <w:hideMark/>
          </w:tcPr>
          <w:p w14:paraId="15FA03CA" w14:textId="5EC7998D"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 eisen van de uitvraag zijn ons inziens behoorlijk zwaar. Dit houdt in dat de te verwachten kosten voor de NLPO ook relatief hoog zullen zijn onafhankelijk welke van de twee netwerkoperators zal worden gekozen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w:t>
            </w:r>
          </w:p>
        </w:tc>
        <w:tc>
          <w:tcPr>
            <w:tcW w:w="2977" w:type="dxa"/>
            <w:shd w:val="clear" w:color="auto" w:fill="auto"/>
            <w:hideMark/>
          </w:tcPr>
          <w:p w14:paraId="33700FB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Is het niet beter om de gestelde eisen meer in overeenstemming te brengen met de hoogte van de vergoedingen die NLPO zou willen en kunnen betalen? Of een onderscheid te maken tussen eisen en wensen. De SLA zou zich moeten richten op het behalen van de uptime van de zendinstallaties van 99,6% en niet in detail in verschillende gespecificeerde eisen op hoe de Netwerkoperator de uptime realiseert. De SLA start nadat de omroep het signaal heeft afgeleverd bij de netwerkoperator.</w:t>
            </w:r>
          </w:p>
        </w:tc>
        <w:tc>
          <w:tcPr>
            <w:tcW w:w="3969" w:type="dxa"/>
            <w:shd w:val="clear" w:color="auto" w:fill="auto"/>
            <w:hideMark/>
          </w:tcPr>
          <w:p w14:paraId="6D177CDA" w14:textId="218C0A85"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Of de kosten van de DAB+ diensten hoog of laag zijn is aan opdrachtgever om over te oordelen. Er is in het proces een </w:t>
            </w:r>
            <w:proofErr w:type="spellStart"/>
            <w:r w:rsidRPr="009815C6">
              <w:rPr>
                <w:rFonts w:ascii="Calibri" w:eastAsia="Times New Roman" w:hAnsi="Calibri" w:cs="Calibri"/>
                <w:color w:val="000000"/>
                <w:lang w:eastAsia="nl-NL"/>
              </w:rPr>
              <w:t>initiele</w:t>
            </w:r>
            <w:proofErr w:type="spellEnd"/>
            <w:r w:rsidRPr="009815C6">
              <w:rPr>
                <w:rFonts w:ascii="Calibri" w:eastAsia="Times New Roman" w:hAnsi="Calibri" w:cs="Calibri"/>
                <w:color w:val="000000"/>
                <w:lang w:eastAsia="nl-NL"/>
              </w:rPr>
              <w:t xml:space="preserve"> indiening en vervolgens een definitieve indiening ingepland. Dit geeft tussen beide nog de ruimte om, afhankelijk van de totale kosten (of gemiddelde kosten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waar nodig aanpassingen te doen. </w:t>
            </w:r>
            <w:r w:rsidRPr="009815C6">
              <w:rPr>
                <w:rFonts w:ascii="Calibri" w:eastAsia="Times New Roman" w:hAnsi="Calibri" w:cs="Calibri"/>
                <w:color w:val="000000"/>
                <w:lang w:eastAsia="nl-NL"/>
              </w:rPr>
              <w:br/>
              <w:t>De SLA is n.a.v. de opmerkin</w:t>
            </w:r>
            <w:r w:rsidRPr="009815C6">
              <w:rPr>
                <w:rFonts w:ascii="Calibri" w:eastAsia="Times New Roman" w:hAnsi="Calibri" w:cs="Calibri"/>
                <w:lang w:eastAsia="nl-NL"/>
              </w:rPr>
              <w:t xml:space="preserve">gen van </w:t>
            </w:r>
            <w:r>
              <w:rPr>
                <w:rFonts w:ascii="Calibri" w:eastAsia="Times New Roman" w:hAnsi="Calibri" w:cs="Calibri"/>
                <w:lang w:eastAsia="nl-NL"/>
              </w:rPr>
              <w:t>netwerkoperator</w:t>
            </w:r>
            <w:r w:rsidRPr="009815C6">
              <w:rPr>
                <w:rFonts w:ascii="Calibri" w:eastAsia="Times New Roman" w:hAnsi="Calibri" w:cs="Calibri"/>
                <w:lang w:eastAsia="nl-NL"/>
              </w:rPr>
              <w:t>s tijdens de bijeenkomst op 17 juni 2024</w:t>
            </w:r>
            <w:r w:rsidRPr="009815C6">
              <w:rPr>
                <w:rFonts w:ascii="Calibri" w:eastAsia="Times New Roman" w:hAnsi="Calibri" w:cs="Calibri"/>
                <w:color w:val="000000"/>
                <w:lang w:eastAsia="nl-NL"/>
              </w:rPr>
              <w:t xml:space="preserve"> aangepast naar 99,0% op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niveau</w:t>
            </w:r>
            <w:proofErr w:type="spellEnd"/>
            <w:r w:rsidRPr="009815C6">
              <w:rPr>
                <w:rFonts w:ascii="Calibri" w:eastAsia="Times New Roman" w:hAnsi="Calibri" w:cs="Calibri"/>
                <w:color w:val="000000"/>
                <w:lang w:eastAsia="nl-NL"/>
              </w:rPr>
              <w:t xml:space="preserve">. Om zeer langdurige </w:t>
            </w:r>
            <w:proofErr w:type="spellStart"/>
            <w:r w:rsidRPr="009815C6">
              <w:rPr>
                <w:rFonts w:ascii="Calibri" w:eastAsia="Times New Roman" w:hAnsi="Calibri" w:cs="Calibri"/>
                <w:color w:val="000000"/>
                <w:lang w:eastAsia="nl-NL"/>
              </w:rPr>
              <w:t>onbeschikbaarheid</w:t>
            </w:r>
            <w:proofErr w:type="spellEnd"/>
            <w:r w:rsidRPr="009815C6">
              <w:rPr>
                <w:rFonts w:ascii="Calibri" w:eastAsia="Times New Roman" w:hAnsi="Calibri" w:cs="Calibri"/>
                <w:color w:val="000000"/>
                <w:lang w:eastAsia="nl-NL"/>
              </w:rPr>
              <w:t xml:space="preserve"> van zenders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te voorkomen, zijn daarnaast </w:t>
            </w:r>
            <w:proofErr w:type="spellStart"/>
            <w:r w:rsidRPr="009815C6">
              <w:rPr>
                <w:rFonts w:ascii="Calibri" w:eastAsia="Times New Roman" w:hAnsi="Calibri" w:cs="Calibri"/>
                <w:color w:val="000000"/>
                <w:lang w:eastAsia="nl-NL"/>
              </w:rPr>
              <w:t>repair</w:t>
            </w:r>
            <w:proofErr w:type="spellEnd"/>
            <w:r w:rsidRPr="009815C6">
              <w:rPr>
                <w:rFonts w:ascii="Calibri" w:eastAsia="Times New Roman" w:hAnsi="Calibri" w:cs="Calibri"/>
                <w:color w:val="000000"/>
                <w:lang w:eastAsia="nl-NL"/>
              </w:rPr>
              <w:t xml:space="preserve"> </w:t>
            </w:r>
            <w:proofErr w:type="spellStart"/>
            <w:r w:rsidRPr="009815C6">
              <w:rPr>
                <w:rFonts w:ascii="Calibri" w:eastAsia="Times New Roman" w:hAnsi="Calibri" w:cs="Calibri"/>
                <w:color w:val="000000"/>
                <w:lang w:eastAsia="nl-NL"/>
              </w:rPr>
              <w:t>times</w:t>
            </w:r>
            <w:proofErr w:type="spellEnd"/>
            <w:r w:rsidRPr="009815C6">
              <w:rPr>
                <w:rFonts w:ascii="Calibri" w:eastAsia="Times New Roman" w:hAnsi="Calibri" w:cs="Calibri"/>
                <w:color w:val="000000"/>
                <w:lang w:eastAsia="nl-NL"/>
              </w:rPr>
              <w:t xml:space="preserve"> gesteld. Echter, zoals aangegeven is dit een "</w:t>
            </w:r>
            <w:proofErr w:type="spellStart"/>
            <w:r w:rsidRPr="009815C6">
              <w:rPr>
                <w:rFonts w:ascii="Calibri" w:eastAsia="Times New Roman" w:hAnsi="Calibri" w:cs="Calibri"/>
                <w:color w:val="000000"/>
                <w:lang w:eastAsia="nl-NL"/>
              </w:rPr>
              <w:t>mean</w:t>
            </w:r>
            <w:proofErr w:type="spellEnd"/>
            <w:r w:rsidRPr="009815C6">
              <w:rPr>
                <w:rFonts w:ascii="Calibri" w:eastAsia="Times New Roman" w:hAnsi="Calibri" w:cs="Calibri"/>
                <w:color w:val="000000"/>
                <w:lang w:eastAsia="nl-NL"/>
              </w:rPr>
              <w:t xml:space="preserve"> time </w:t>
            </w:r>
            <w:proofErr w:type="spellStart"/>
            <w:r w:rsidRPr="009815C6">
              <w:rPr>
                <w:rFonts w:ascii="Calibri" w:eastAsia="Times New Roman" w:hAnsi="Calibri" w:cs="Calibri"/>
                <w:color w:val="000000"/>
                <w:lang w:eastAsia="nl-NL"/>
              </w:rPr>
              <w:t>to</w:t>
            </w:r>
            <w:proofErr w:type="spellEnd"/>
            <w:r w:rsidRPr="009815C6">
              <w:rPr>
                <w:rFonts w:ascii="Calibri" w:eastAsia="Times New Roman" w:hAnsi="Calibri" w:cs="Calibri"/>
                <w:color w:val="000000"/>
                <w:lang w:eastAsia="nl-NL"/>
              </w:rPr>
              <w:t xml:space="preserve"> </w:t>
            </w:r>
            <w:proofErr w:type="spellStart"/>
            <w:r w:rsidRPr="009815C6">
              <w:rPr>
                <w:rFonts w:ascii="Calibri" w:eastAsia="Times New Roman" w:hAnsi="Calibri" w:cs="Calibri"/>
                <w:color w:val="000000"/>
                <w:lang w:eastAsia="nl-NL"/>
              </w:rPr>
              <w:t>repair</w:t>
            </w:r>
            <w:proofErr w:type="spellEnd"/>
            <w:r w:rsidRPr="009815C6">
              <w:rPr>
                <w:rFonts w:ascii="Calibri" w:eastAsia="Times New Roman" w:hAnsi="Calibri" w:cs="Calibri"/>
                <w:color w:val="000000"/>
                <w:lang w:eastAsia="nl-NL"/>
              </w:rPr>
              <w:t xml:space="preserve">". Dit is dus geen "maximum time </w:t>
            </w:r>
            <w:proofErr w:type="spellStart"/>
            <w:r w:rsidRPr="009815C6">
              <w:rPr>
                <w:rFonts w:ascii="Calibri" w:eastAsia="Times New Roman" w:hAnsi="Calibri" w:cs="Calibri"/>
                <w:color w:val="000000"/>
                <w:lang w:eastAsia="nl-NL"/>
              </w:rPr>
              <w:t>to</w:t>
            </w:r>
            <w:proofErr w:type="spellEnd"/>
            <w:r w:rsidRPr="009815C6">
              <w:rPr>
                <w:rFonts w:ascii="Calibri" w:eastAsia="Times New Roman" w:hAnsi="Calibri" w:cs="Calibri"/>
                <w:color w:val="000000"/>
                <w:lang w:eastAsia="nl-NL"/>
              </w:rPr>
              <w:t xml:space="preserve"> </w:t>
            </w:r>
            <w:proofErr w:type="spellStart"/>
            <w:r w:rsidRPr="009815C6">
              <w:rPr>
                <w:rFonts w:ascii="Calibri" w:eastAsia="Times New Roman" w:hAnsi="Calibri" w:cs="Calibri"/>
                <w:color w:val="000000"/>
                <w:lang w:eastAsia="nl-NL"/>
              </w:rPr>
              <w:t>repair</w:t>
            </w:r>
            <w:proofErr w:type="spellEnd"/>
            <w:r w:rsidRPr="009815C6">
              <w:rPr>
                <w:rFonts w:ascii="Calibri" w:eastAsia="Times New Roman" w:hAnsi="Calibri" w:cs="Calibri"/>
                <w:color w:val="000000"/>
                <w:lang w:eastAsia="nl-NL"/>
              </w:rPr>
              <w:t xml:space="preserve">" Het is aan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geheel zelf en vrij te bepalen hoe de 99% uptime gerealiseerd wordt</w:t>
            </w:r>
            <w:r w:rsidRPr="009815C6">
              <w:rPr>
                <w:rFonts w:ascii="Calibri (Hoofdtekst)" w:eastAsia="Times New Roman" w:hAnsi="Calibri (Hoofdtekst)" w:cs="Calibri"/>
                <w:color w:val="FF0000"/>
                <w:lang w:eastAsia="nl-NL"/>
              </w:rPr>
              <w:t xml:space="preserve"> </w:t>
            </w:r>
          </w:p>
        </w:tc>
      </w:tr>
      <w:tr w:rsidR="009815C6" w:rsidRPr="009815C6" w14:paraId="140ED519" w14:textId="77777777" w:rsidTr="00F64A65">
        <w:trPr>
          <w:trHeight w:val="4226"/>
        </w:trPr>
        <w:tc>
          <w:tcPr>
            <w:tcW w:w="940" w:type="dxa"/>
            <w:shd w:val="clear" w:color="auto" w:fill="auto"/>
            <w:hideMark/>
          </w:tcPr>
          <w:p w14:paraId="3F7CCA9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22</w:t>
            </w:r>
          </w:p>
        </w:tc>
        <w:tc>
          <w:tcPr>
            <w:tcW w:w="3000" w:type="dxa"/>
            <w:shd w:val="clear" w:color="auto" w:fill="auto"/>
            <w:hideMark/>
          </w:tcPr>
          <w:p w14:paraId="3173F67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Prijzenblad VTO NLPO DAB laag 6_DEF4.xls</w:t>
            </w:r>
            <w:r w:rsidRPr="009815C6">
              <w:rPr>
                <w:rFonts w:ascii="Calibri" w:eastAsia="Times New Roman" w:hAnsi="Calibri" w:cs="Calibri"/>
                <w:color w:val="000000"/>
                <w:lang w:eastAsia="nl-NL"/>
              </w:rPr>
              <w:br/>
              <w:t>Vraagspecificatie</w:t>
            </w:r>
          </w:p>
        </w:tc>
        <w:tc>
          <w:tcPr>
            <w:tcW w:w="4566" w:type="dxa"/>
            <w:shd w:val="clear" w:color="auto" w:fill="auto"/>
            <w:hideMark/>
          </w:tcPr>
          <w:p w14:paraId="48C217C1" w14:textId="29208A8C"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Moeten er in document "Prijzenblad VTO NLPO DAB laag 6_DEF4.xls" 2 prijzen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worden afgegeven, dus voor meer of minder dan 8 deelnemers? Wij begrepen dat NLPO nog aan zal geven hoeveel vergunninghouders er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komen voor de definitieve prijsopgave.</w:t>
            </w:r>
          </w:p>
        </w:tc>
        <w:tc>
          <w:tcPr>
            <w:tcW w:w="2977" w:type="dxa"/>
            <w:shd w:val="clear" w:color="auto" w:fill="auto"/>
            <w:hideMark/>
          </w:tcPr>
          <w:p w14:paraId="5916249F" w14:textId="4246C37A"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Is het niet beter om 2 verschillende prijzen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uit te vragen om onduidelijkheden in de toekomst te voorkomen?, zie ook punt 4 van ons vragenformulier.</w:t>
            </w:r>
          </w:p>
        </w:tc>
        <w:tc>
          <w:tcPr>
            <w:tcW w:w="3969" w:type="dxa"/>
            <w:shd w:val="clear" w:color="auto" w:fill="auto"/>
            <w:hideMark/>
          </w:tcPr>
          <w:p w14:paraId="4187DBFA" w14:textId="3159FADF" w:rsidR="009815C6" w:rsidRPr="009815C6" w:rsidRDefault="00F64A65"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Commerciële</w:t>
            </w:r>
            <w:r w:rsidR="009815C6" w:rsidRPr="009815C6">
              <w:rPr>
                <w:rFonts w:ascii="Calibri" w:eastAsia="Times New Roman" w:hAnsi="Calibri" w:cs="Calibri"/>
                <w:color w:val="000000"/>
                <w:lang w:eastAsia="nl-NL"/>
              </w:rPr>
              <w:t xml:space="preserve"> omroepen kunnen tot 31 juli 2024 een vergunning aanvragen. Opdrachtgever gaat er dus vanuit dat begin augustus in het </w:t>
            </w:r>
            <w:r w:rsidRPr="009815C6">
              <w:rPr>
                <w:rFonts w:ascii="Calibri" w:eastAsia="Times New Roman" w:hAnsi="Calibri" w:cs="Calibri"/>
                <w:color w:val="000000"/>
                <w:lang w:eastAsia="nl-NL"/>
              </w:rPr>
              <w:t>merendeel</w:t>
            </w:r>
            <w:r w:rsidR="009815C6" w:rsidRPr="009815C6">
              <w:rPr>
                <w:rFonts w:ascii="Calibri" w:eastAsia="Times New Roman" w:hAnsi="Calibri" w:cs="Calibri"/>
                <w:color w:val="000000"/>
                <w:lang w:eastAsia="nl-NL"/>
              </w:rPr>
              <w:t xml:space="preserve"> van de </w:t>
            </w:r>
            <w:proofErr w:type="spellStart"/>
            <w:r w:rsidR="009815C6">
              <w:rPr>
                <w:rFonts w:ascii="Calibri" w:eastAsia="Times New Roman" w:hAnsi="Calibri" w:cs="Calibri"/>
                <w:color w:val="000000"/>
                <w:lang w:eastAsia="nl-NL"/>
              </w:rPr>
              <w:t>Allotment</w:t>
            </w:r>
            <w:r w:rsidR="009815C6" w:rsidRPr="009815C6">
              <w:rPr>
                <w:rFonts w:ascii="Calibri" w:eastAsia="Times New Roman" w:hAnsi="Calibri" w:cs="Calibri"/>
                <w:color w:val="000000"/>
                <w:lang w:eastAsia="nl-NL"/>
              </w:rPr>
              <w:t>s</w:t>
            </w:r>
            <w:proofErr w:type="spellEnd"/>
            <w:r w:rsidR="009815C6" w:rsidRPr="009815C6">
              <w:rPr>
                <w:rFonts w:ascii="Calibri" w:eastAsia="Times New Roman" w:hAnsi="Calibri" w:cs="Calibri"/>
                <w:color w:val="000000"/>
                <w:lang w:eastAsia="nl-NL"/>
              </w:rPr>
              <w:t xml:space="preserve"> bekend zal zijn hoeveel PO en CO vergunninghouders aanwezig zijn. Voor die </w:t>
            </w:r>
            <w:proofErr w:type="spellStart"/>
            <w:r w:rsidR="009815C6">
              <w:rPr>
                <w:rFonts w:ascii="Calibri" w:eastAsia="Times New Roman" w:hAnsi="Calibri" w:cs="Calibri"/>
                <w:color w:val="000000"/>
                <w:lang w:eastAsia="nl-NL"/>
              </w:rPr>
              <w:t>Allotment</w:t>
            </w:r>
            <w:r w:rsidR="009815C6" w:rsidRPr="009815C6">
              <w:rPr>
                <w:rFonts w:ascii="Calibri" w:eastAsia="Times New Roman" w:hAnsi="Calibri" w:cs="Calibri"/>
                <w:color w:val="000000"/>
                <w:lang w:eastAsia="nl-NL"/>
              </w:rPr>
              <w:t>s</w:t>
            </w:r>
            <w:proofErr w:type="spellEnd"/>
            <w:r w:rsidR="009815C6" w:rsidRPr="009815C6">
              <w:rPr>
                <w:rFonts w:ascii="Calibri" w:eastAsia="Times New Roman" w:hAnsi="Calibri" w:cs="Calibri"/>
                <w:color w:val="000000"/>
                <w:lang w:eastAsia="nl-NL"/>
              </w:rPr>
              <w:t xml:space="preserve"> waar dit, door veiling, nog niet exact duidelijk is, zal uiteraard gelden dat er meer dan 8 vergunninghouders aanwezig zijn in het </w:t>
            </w:r>
            <w:proofErr w:type="spellStart"/>
            <w:r w:rsidR="009815C6">
              <w:rPr>
                <w:rFonts w:ascii="Calibri" w:eastAsia="Times New Roman" w:hAnsi="Calibri" w:cs="Calibri"/>
                <w:color w:val="000000"/>
                <w:lang w:eastAsia="nl-NL"/>
              </w:rPr>
              <w:t>Allotment</w:t>
            </w:r>
            <w:proofErr w:type="spellEnd"/>
            <w:r w:rsidR="009815C6" w:rsidRPr="009815C6">
              <w:rPr>
                <w:rFonts w:ascii="Calibri" w:eastAsia="Times New Roman" w:hAnsi="Calibri" w:cs="Calibri"/>
                <w:color w:val="000000"/>
                <w:lang w:eastAsia="nl-NL"/>
              </w:rPr>
              <w:t xml:space="preserve">. Ook daarvoor zal begin augustus dus al duidelijk zijn van welke IGV Netwerkoperator uit moet gaan voor desbetreffend </w:t>
            </w:r>
            <w:proofErr w:type="spellStart"/>
            <w:r w:rsidR="009815C6">
              <w:rPr>
                <w:rFonts w:ascii="Calibri" w:eastAsia="Times New Roman" w:hAnsi="Calibri" w:cs="Calibri"/>
                <w:color w:val="000000"/>
                <w:lang w:eastAsia="nl-NL"/>
              </w:rPr>
              <w:t>Allotment</w:t>
            </w:r>
            <w:proofErr w:type="spellEnd"/>
            <w:r w:rsidR="009815C6" w:rsidRPr="009815C6">
              <w:rPr>
                <w:rFonts w:ascii="Calibri" w:eastAsia="Times New Roman" w:hAnsi="Calibri" w:cs="Calibri"/>
                <w:color w:val="000000"/>
                <w:lang w:eastAsia="nl-NL"/>
              </w:rPr>
              <w:t xml:space="preserve">. </w:t>
            </w:r>
            <w:r w:rsidR="009815C6" w:rsidRPr="009815C6">
              <w:rPr>
                <w:rFonts w:ascii="Calibri" w:eastAsia="Times New Roman" w:hAnsi="Calibri" w:cs="Calibri"/>
                <w:color w:val="000000"/>
                <w:lang w:eastAsia="nl-NL"/>
              </w:rPr>
              <w:br/>
            </w:r>
            <w:r w:rsidR="009815C6" w:rsidRPr="009815C6">
              <w:rPr>
                <w:rFonts w:ascii="Calibri (Hoofdtekst)" w:eastAsia="Times New Roman" w:hAnsi="Calibri (Hoofdtekst)" w:cs="Calibri"/>
                <w:color w:val="000000"/>
                <w:lang w:eastAsia="nl-NL"/>
              </w:rPr>
              <w:t xml:space="preserve">We hebben het prijzenblad aangepast zodat daarin kan worden aangegeven van welk aantal vergunninghouders </w:t>
            </w:r>
            <w:r w:rsidR="009815C6">
              <w:rPr>
                <w:rFonts w:ascii="Calibri (Hoofdtekst)" w:eastAsia="Times New Roman" w:hAnsi="Calibri (Hoofdtekst)" w:cs="Calibri"/>
                <w:color w:val="000000"/>
                <w:lang w:eastAsia="nl-NL"/>
              </w:rPr>
              <w:t>netwerkoperator</w:t>
            </w:r>
            <w:r w:rsidR="009815C6" w:rsidRPr="009815C6">
              <w:rPr>
                <w:rFonts w:ascii="Calibri (Hoofdtekst)" w:eastAsia="Times New Roman" w:hAnsi="Calibri (Hoofdtekst)" w:cs="Calibri"/>
                <w:color w:val="000000"/>
                <w:lang w:eastAsia="nl-NL"/>
              </w:rPr>
              <w:t xml:space="preserve"> uitgaat in een </w:t>
            </w:r>
            <w:proofErr w:type="spellStart"/>
            <w:r w:rsidR="009815C6">
              <w:rPr>
                <w:rFonts w:ascii="Calibri (Hoofdtekst)" w:eastAsia="Times New Roman" w:hAnsi="Calibri (Hoofdtekst)" w:cs="Calibri"/>
                <w:color w:val="000000"/>
                <w:lang w:eastAsia="nl-NL"/>
              </w:rPr>
              <w:t>Allotment</w:t>
            </w:r>
            <w:proofErr w:type="spellEnd"/>
            <w:r w:rsidR="009815C6" w:rsidRPr="009815C6">
              <w:rPr>
                <w:rFonts w:ascii="Calibri (Hoofdtekst)" w:eastAsia="Times New Roman" w:hAnsi="Calibri (Hoofdtekst)" w:cs="Calibri"/>
                <w:color w:val="000000"/>
                <w:lang w:eastAsia="nl-NL"/>
              </w:rPr>
              <w:t xml:space="preserve"> en dus welke IG voor het </w:t>
            </w:r>
            <w:proofErr w:type="spellStart"/>
            <w:r w:rsidR="009815C6">
              <w:rPr>
                <w:rFonts w:ascii="Calibri (Hoofdtekst)" w:eastAsia="Times New Roman" w:hAnsi="Calibri (Hoofdtekst)" w:cs="Calibri"/>
                <w:color w:val="000000"/>
                <w:lang w:eastAsia="nl-NL"/>
              </w:rPr>
              <w:t>Allotment</w:t>
            </w:r>
            <w:proofErr w:type="spellEnd"/>
            <w:r w:rsidR="009815C6" w:rsidRPr="009815C6">
              <w:rPr>
                <w:rFonts w:ascii="Calibri (Hoofdtekst)" w:eastAsia="Times New Roman" w:hAnsi="Calibri (Hoofdtekst)" w:cs="Calibri"/>
                <w:color w:val="000000"/>
                <w:lang w:eastAsia="nl-NL"/>
              </w:rPr>
              <w:t xml:space="preserve"> is gehanteerd.</w:t>
            </w:r>
            <w:r w:rsidR="009815C6" w:rsidRPr="009815C6">
              <w:rPr>
                <w:rFonts w:ascii="Calibri" w:eastAsia="Times New Roman" w:hAnsi="Calibri" w:cs="Calibri"/>
                <w:color w:val="000000"/>
                <w:lang w:eastAsia="nl-NL"/>
              </w:rPr>
              <w:t xml:space="preserve"> Het staat </w:t>
            </w:r>
            <w:r w:rsidR="009815C6">
              <w:rPr>
                <w:rFonts w:ascii="Calibri" w:eastAsia="Times New Roman" w:hAnsi="Calibri" w:cs="Calibri"/>
                <w:color w:val="000000"/>
                <w:lang w:eastAsia="nl-NL"/>
              </w:rPr>
              <w:t>netwerkoperator</w:t>
            </w:r>
            <w:r w:rsidR="009815C6" w:rsidRPr="009815C6">
              <w:rPr>
                <w:rFonts w:ascii="Calibri" w:eastAsia="Times New Roman" w:hAnsi="Calibri" w:cs="Calibri"/>
                <w:color w:val="000000"/>
                <w:lang w:eastAsia="nl-NL"/>
              </w:rPr>
              <w:t xml:space="preserve"> echter vrij om voor elk </w:t>
            </w:r>
            <w:proofErr w:type="spellStart"/>
            <w:r w:rsidR="009815C6">
              <w:rPr>
                <w:rFonts w:ascii="Calibri" w:eastAsia="Times New Roman" w:hAnsi="Calibri" w:cs="Calibri"/>
                <w:color w:val="000000"/>
                <w:lang w:eastAsia="nl-NL"/>
              </w:rPr>
              <w:t>Allotment</w:t>
            </w:r>
            <w:proofErr w:type="spellEnd"/>
            <w:r w:rsidR="009815C6" w:rsidRPr="009815C6">
              <w:rPr>
                <w:rFonts w:ascii="Calibri" w:eastAsia="Times New Roman" w:hAnsi="Calibri" w:cs="Calibri"/>
                <w:color w:val="000000"/>
                <w:lang w:eastAsia="nl-NL"/>
              </w:rPr>
              <w:t xml:space="preserve"> bij </w:t>
            </w:r>
            <w:proofErr w:type="spellStart"/>
            <w:r w:rsidR="009815C6" w:rsidRPr="009815C6">
              <w:rPr>
                <w:rFonts w:ascii="Calibri" w:eastAsia="Times New Roman" w:hAnsi="Calibri" w:cs="Calibri"/>
                <w:color w:val="000000"/>
                <w:lang w:eastAsia="nl-NL"/>
              </w:rPr>
              <w:t>initiele</w:t>
            </w:r>
            <w:proofErr w:type="spellEnd"/>
            <w:r w:rsidR="009815C6" w:rsidRPr="009815C6">
              <w:rPr>
                <w:rFonts w:ascii="Calibri" w:eastAsia="Times New Roman" w:hAnsi="Calibri" w:cs="Calibri"/>
                <w:color w:val="000000"/>
                <w:lang w:eastAsia="nl-NL"/>
              </w:rPr>
              <w:t xml:space="preserve"> aanbieding meteen 2 berekeningen te doen (1 berekening te doen voor 8 en meer vergunninghouders </w:t>
            </w:r>
            <w:r w:rsidR="009815C6" w:rsidRPr="009815C6">
              <w:rPr>
                <w:rFonts w:ascii="Calibri" w:eastAsia="Times New Roman" w:hAnsi="Calibri" w:cs="Calibri"/>
                <w:color w:val="000000"/>
                <w:lang w:eastAsia="nl-NL"/>
              </w:rPr>
              <w:lastRenderedPageBreak/>
              <w:t>en 1 berekening voor minder dan 8 vergunninghouders) en dus 2 prijzenbladen in te vullen en aan te bieden. Voor de definitieve aanbieding zal uiteraard wel 1 prijzenblad ingediend moeten worden met op dat moment geldige IGV gehanteerd dienen te worden. Dan zijn immers alle vergunninghouders definitief bekend.</w:t>
            </w:r>
          </w:p>
        </w:tc>
      </w:tr>
      <w:tr w:rsidR="009815C6" w:rsidRPr="009815C6" w14:paraId="39A5C403" w14:textId="77777777" w:rsidTr="009815C6">
        <w:trPr>
          <w:trHeight w:val="4320"/>
        </w:trPr>
        <w:tc>
          <w:tcPr>
            <w:tcW w:w="940" w:type="dxa"/>
            <w:shd w:val="clear" w:color="auto" w:fill="auto"/>
            <w:hideMark/>
          </w:tcPr>
          <w:p w14:paraId="1811DA4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23</w:t>
            </w:r>
          </w:p>
        </w:tc>
        <w:tc>
          <w:tcPr>
            <w:tcW w:w="3000" w:type="dxa"/>
            <w:shd w:val="clear" w:color="auto" w:fill="auto"/>
            <w:hideMark/>
          </w:tcPr>
          <w:p w14:paraId="7FF09AF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Prijzenblad VTO NLPO DAB laag 6_DEF4.xls</w:t>
            </w:r>
            <w:r w:rsidRPr="009815C6">
              <w:rPr>
                <w:rFonts w:ascii="Calibri" w:eastAsia="Times New Roman" w:hAnsi="Calibri" w:cs="Calibri"/>
                <w:color w:val="000000"/>
                <w:lang w:eastAsia="nl-NL"/>
              </w:rPr>
              <w:br/>
              <w:t>Vraagspecificatie</w:t>
            </w:r>
          </w:p>
        </w:tc>
        <w:tc>
          <w:tcPr>
            <w:tcW w:w="4566" w:type="dxa"/>
            <w:shd w:val="clear" w:color="auto" w:fill="auto"/>
            <w:hideMark/>
          </w:tcPr>
          <w:p w14:paraId="4C76754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Hoe wil NLPO omgaan met de tarieven indien het aantal deelnemers gedurende de looptijd van het contract onder de 8 zakt ? </w:t>
            </w:r>
          </w:p>
        </w:tc>
        <w:tc>
          <w:tcPr>
            <w:tcW w:w="2977" w:type="dxa"/>
            <w:shd w:val="clear" w:color="auto" w:fill="auto"/>
            <w:hideMark/>
          </w:tcPr>
          <w:p w14:paraId="777F47B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De vereiste dekkingspercentages wijzigen dan en de netwerkoperator heeft de zendinstallaties gebouwd o.b.v. de hogere dekkingseisen. Deze investeringen zullen gedurende de looptijd van het contract afgeschreven te kunnen worden of er zal een afkoopregeling moeten worden ingebouwd.</w:t>
            </w:r>
          </w:p>
        </w:tc>
        <w:tc>
          <w:tcPr>
            <w:tcW w:w="3969" w:type="dxa"/>
            <w:shd w:val="clear" w:color="auto" w:fill="auto"/>
            <w:hideMark/>
          </w:tcPr>
          <w:p w14:paraId="68EF2686" w14:textId="040F96A1"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Opdrachtgevers (en omroepen) gaan verplichtingen aan op basis van de door aanbieder afgegeven aanbiedingen (bij definitieve aanbieding). Indien deze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gebaseerd zijn op (het op dat moment) aantal vergunninghouders van 8 of hoger, dan blijft dat in principe gehandhaafd. Mochten er echter gedurende de looptijd problemen ontstaan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doordat vergunninghouders door het afgenomen aantal vergunninghouders, niet meer aan hun </w:t>
            </w:r>
            <w:proofErr w:type="spellStart"/>
            <w:r w:rsidRPr="009815C6">
              <w:rPr>
                <w:rFonts w:ascii="Calibri" w:eastAsia="Times New Roman" w:hAnsi="Calibri" w:cs="Calibri"/>
                <w:color w:val="000000"/>
                <w:lang w:eastAsia="nl-NL"/>
              </w:rPr>
              <w:t>financiele</w:t>
            </w:r>
            <w:proofErr w:type="spellEnd"/>
            <w:r w:rsidRPr="009815C6">
              <w:rPr>
                <w:rFonts w:ascii="Calibri" w:eastAsia="Times New Roman" w:hAnsi="Calibri" w:cs="Calibri"/>
                <w:color w:val="000000"/>
                <w:lang w:eastAsia="nl-NL"/>
              </w:rPr>
              <w:t xml:space="preserve"> verplichtingen kunnen voldoen, dan zal Opdrachtgever in overleg treden met de (dan) opdrachtnemer om een passende oplossing te vinden om de kosten voor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(indien mogelijk) ter verlagen.</w:t>
            </w:r>
          </w:p>
        </w:tc>
      </w:tr>
      <w:tr w:rsidR="009815C6" w:rsidRPr="009815C6" w14:paraId="776290AD" w14:textId="77777777" w:rsidTr="009815C6">
        <w:trPr>
          <w:trHeight w:val="2016"/>
        </w:trPr>
        <w:tc>
          <w:tcPr>
            <w:tcW w:w="940" w:type="dxa"/>
            <w:shd w:val="clear" w:color="auto" w:fill="auto"/>
            <w:hideMark/>
          </w:tcPr>
          <w:p w14:paraId="275D7F0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24</w:t>
            </w:r>
          </w:p>
        </w:tc>
        <w:tc>
          <w:tcPr>
            <w:tcW w:w="3000" w:type="dxa"/>
            <w:shd w:val="clear" w:color="auto" w:fill="auto"/>
            <w:hideMark/>
          </w:tcPr>
          <w:p w14:paraId="48E01F5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Prijzenblad VTO NLPO DAB laag 6_DEF4.xls regel 19 </w:t>
            </w:r>
            <w:proofErr w:type="spellStart"/>
            <w:r w:rsidRPr="009815C6">
              <w:rPr>
                <w:rFonts w:ascii="Calibri" w:eastAsia="Times New Roman" w:hAnsi="Calibri" w:cs="Calibri"/>
                <w:color w:val="000000"/>
                <w:lang w:eastAsia="nl-NL"/>
              </w:rPr>
              <w:t>tabbald</w:t>
            </w:r>
            <w:proofErr w:type="spellEnd"/>
            <w:r w:rsidRPr="009815C6">
              <w:rPr>
                <w:rFonts w:ascii="Calibri" w:eastAsia="Times New Roman" w:hAnsi="Calibri" w:cs="Calibri"/>
                <w:color w:val="000000"/>
                <w:lang w:eastAsia="nl-NL"/>
              </w:rPr>
              <w:t xml:space="preserve"> uitgangspunten</w:t>
            </w:r>
            <w:r w:rsidRPr="009815C6">
              <w:rPr>
                <w:rFonts w:ascii="Calibri" w:eastAsia="Times New Roman" w:hAnsi="Calibri" w:cs="Calibri"/>
                <w:color w:val="000000"/>
                <w:lang w:eastAsia="nl-NL"/>
              </w:rPr>
              <w:br/>
              <w:t>Vraagspecificatie</w:t>
            </w:r>
          </w:p>
        </w:tc>
        <w:tc>
          <w:tcPr>
            <w:tcW w:w="4566" w:type="dxa"/>
            <w:shd w:val="clear" w:color="auto" w:fill="auto"/>
            <w:hideMark/>
          </w:tcPr>
          <w:p w14:paraId="5920267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Gevraagd wordt of de Netwerkoperator  in zijn aanbieding de berekening van deze economische waarde kan specificeren.</w:t>
            </w:r>
          </w:p>
        </w:tc>
        <w:tc>
          <w:tcPr>
            <w:tcW w:w="2977" w:type="dxa"/>
            <w:shd w:val="clear" w:color="auto" w:fill="auto"/>
            <w:hideMark/>
          </w:tcPr>
          <w:p w14:paraId="4170DB2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In de praktijk kan de NLPO niets met deze apparatuur zonder antennes etc. Beter lijkt het om deze overname mogelijkheid te schrappen.</w:t>
            </w:r>
          </w:p>
        </w:tc>
        <w:tc>
          <w:tcPr>
            <w:tcW w:w="3969" w:type="dxa"/>
            <w:shd w:val="clear" w:color="auto" w:fill="auto"/>
            <w:hideMark/>
          </w:tcPr>
          <w:p w14:paraId="21954AC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De optie tot overname van apparatuur is geschrapt uit de VTO documenten. Opdrachtgever ziet dus af van deze mogelijkheid.</w:t>
            </w:r>
          </w:p>
        </w:tc>
      </w:tr>
      <w:tr w:rsidR="009815C6" w:rsidRPr="009815C6" w14:paraId="305A0ED2" w14:textId="77777777" w:rsidTr="009815C6">
        <w:trPr>
          <w:trHeight w:val="8192"/>
        </w:trPr>
        <w:tc>
          <w:tcPr>
            <w:tcW w:w="940" w:type="dxa"/>
            <w:shd w:val="clear" w:color="auto" w:fill="auto"/>
            <w:hideMark/>
          </w:tcPr>
          <w:p w14:paraId="1B553BA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25</w:t>
            </w:r>
          </w:p>
        </w:tc>
        <w:tc>
          <w:tcPr>
            <w:tcW w:w="3000" w:type="dxa"/>
            <w:shd w:val="clear" w:color="auto" w:fill="auto"/>
            <w:hideMark/>
          </w:tcPr>
          <w:p w14:paraId="2FDD4FD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artikel 5.2</w:t>
            </w:r>
          </w:p>
        </w:tc>
        <w:tc>
          <w:tcPr>
            <w:tcW w:w="4566" w:type="dxa"/>
            <w:shd w:val="clear" w:color="auto" w:fill="auto"/>
            <w:hideMark/>
          </w:tcPr>
          <w:p w14:paraId="584D392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De Vergoeding, zoals opgenomen in Bijlage A van een Dienstenovereenkomst staat vast gedurende de duur van de Raamovereenkomst inclusief verlengingen</w:t>
            </w:r>
            <w:r w:rsidRPr="009815C6">
              <w:rPr>
                <w:rFonts w:ascii="Calibri" w:eastAsia="Times New Roman" w:hAnsi="Calibri" w:cs="Calibri"/>
                <w:color w:val="000000"/>
                <w:lang w:eastAsia="nl-NL"/>
              </w:rPr>
              <w:br/>
              <w:t>Dat houdt in dat er niet geïndexeerd kan worden?</w:t>
            </w:r>
          </w:p>
        </w:tc>
        <w:tc>
          <w:tcPr>
            <w:tcW w:w="2977" w:type="dxa"/>
            <w:shd w:val="clear" w:color="auto" w:fill="auto"/>
            <w:hideMark/>
          </w:tcPr>
          <w:p w14:paraId="2596A10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Welke prijsindexatie is van toepassing op de maandelijkse vergoedingen? Of zijn het vaste vergoedingen conform 4.4.1 van VTO (De aangeboden maandprijzen dienen minimaal geldig te zijn voor de duur van de</w:t>
            </w:r>
            <w:r w:rsidRPr="009815C6">
              <w:rPr>
                <w:rFonts w:ascii="Calibri" w:eastAsia="Times New Roman" w:hAnsi="Calibri" w:cs="Calibri"/>
                <w:color w:val="000000"/>
                <w:lang w:eastAsia="nl-NL"/>
              </w:rPr>
              <w:br/>
              <w:t>raamovereenkomst (6 jaar) inclusief minimaal 1 keer een verlenging van 4 jaar.)</w:t>
            </w:r>
            <w:r w:rsidRPr="009815C6">
              <w:rPr>
                <w:rFonts w:ascii="Calibri" w:eastAsia="Times New Roman" w:hAnsi="Calibri" w:cs="Calibri"/>
                <w:color w:val="000000"/>
                <w:lang w:eastAsia="nl-NL"/>
              </w:rPr>
              <w:br/>
              <w:t>Het lijkt beter indexatie toe te passen, anders moeten de netwerkoperators  indexatie verwachting + risico opslag in offertes opnemen. De ontwikkeling van de stroomkosten is niet te voorzien. Een periode van 10 jaar om niet te indexeren is in de huidige onzekere tijden veel te lang. Ons voorstel is om aan te sluiten bij de eerdere logica van RPO.</w:t>
            </w:r>
          </w:p>
        </w:tc>
        <w:tc>
          <w:tcPr>
            <w:tcW w:w="3969" w:type="dxa"/>
            <w:shd w:val="clear" w:color="auto" w:fill="auto"/>
            <w:hideMark/>
          </w:tcPr>
          <w:p w14:paraId="1EAB654D" w14:textId="18097215"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De VTO documenten zijn hierop aangepast.</w:t>
            </w:r>
            <w:r w:rsidRPr="009815C6">
              <w:rPr>
                <w:rFonts w:ascii="Calibri" w:eastAsia="Times New Roman" w:hAnsi="Calibri" w:cs="Calibri"/>
                <w:color w:val="000000"/>
                <w:lang w:eastAsia="nl-NL"/>
              </w:rPr>
              <w:br/>
              <w:t xml:space="preserve">De kosten voor de huur van opstelplaatsen kunnen eenmaal per jaar worden bijgesteld met een percentage gelijk aan de indexatie voor zakelijke dienstverlening: CBS, CPA 2021, categorie 61 Telecommunicatie. </w:t>
            </w:r>
            <w:r w:rsidRPr="009815C6">
              <w:rPr>
                <w:rFonts w:ascii="Calibri" w:eastAsia="Times New Roman" w:hAnsi="Calibri" w:cs="Calibri"/>
                <w:color w:val="000000"/>
                <w:lang w:eastAsia="nl-NL"/>
              </w:rPr>
              <w:br/>
              <w:t xml:space="preserve">Ten aanzien van de energieprijs per maand geldt een afwijkende methode van afrekenen achteraf namelijk de </w:t>
            </w:r>
            <w:proofErr w:type="spellStart"/>
            <w:r w:rsidRPr="009815C6">
              <w:rPr>
                <w:rFonts w:ascii="Calibri" w:eastAsia="Times New Roman" w:hAnsi="Calibri" w:cs="Calibri"/>
                <w:color w:val="000000"/>
                <w:lang w:eastAsia="nl-NL"/>
              </w:rPr>
              <w:t>ProductenPrijsIndex</w:t>
            </w:r>
            <w:proofErr w:type="spellEnd"/>
            <w:r w:rsidRPr="009815C6">
              <w:rPr>
                <w:rFonts w:ascii="Calibri" w:eastAsia="Times New Roman" w:hAnsi="Calibri" w:cs="Calibri"/>
                <w:color w:val="000000"/>
                <w:lang w:eastAsia="nl-NL"/>
              </w:rPr>
              <w:t xml:space="preserve"> (PPI) categorie 351. Dit betekent dat de maandelijkse kostprijs voor elektriciteit één keer per jaar worden gecorrigeerd aan de hand van voor dit indexcijfer. Zowel naar boven als naar beneden(!) dus bij een negatieve PPI daalt de prijs die mag worden doorberekend voor elektriciteit.</w:t>
            </w:r>
            <w:r w:rsidRPr="009815C6">
              <w:rPr>
                <w:rFonts w:ascii="Calibri" w:eastAsia="Times New Roman" w:hAnsi="Calibri" w:cs="Calibri"/>
                <w:color w:val="000000"/>
                <w:lang w:eastAsia="nl-NL"/>
              </w:rPr>
              <w:br/>
              <w:t xml:space="preserve">Alleen de huur voor de opstelplaatsen en de energieprijzen kunnen dus jaarlijks worden </w:t>
            </w:r>
            <w:r w:rsidR="00F64A65" w:rsidRPr="009815C6">
              <w:rPr>
                <w:rFonts w:ascii="Calibri" w:eastAsia="Times New Roman" w:hAnsi="Calibri" w:cs="Calibri"/>
                <w:color w:val="000000"/>
                <w:lang w:eastAsia="nl-NL"/>
              </w:rPr>
              <w:t>geïndexeerd</w:t>
            </w:r>
            <w:r w:rsidRPr="009815C6">
              <w:rPr>
                <w:rFonts w:ascii="Calibri" w:eastAsia="Times New Roman" w:hAnsi="Calibri" w:cs="Calibri"/>
                <w:color w:val="000000"/>
                <w:lang w:eastAsia="nl-NL"/>
              </w:rPr>
              <w:t xml:space="preserve">, </w:t>
            </w:r>
            <w:proofErr w:type="spellStart"/>
            <w:r w:rsidRPr="009815C6">
              <w:rPr>
                <w:rFonts w:ascii="Calibri" w:eastAsia="Times New Roman" w:hAnsi="Calibri" w:cs="Calibri"/>
                <w:color w:val="000000"/>
                <w:lang w:eastAsia="nl-NL"/>
              </w:rPr>
              <w:t>danwel</w:t>
            </w:r>
            <w:proofErr w:type="spellEnd"/>
            <w:r w:rsidRPr="009815C6">
              <w:rPr>
                <w:rFonts w:ascii="Calibri" w:eastAsia="Times New Roman" w:hAnsi="Calibri" w:cs="Calibri"/>
                <w:color w:val="000000"/>
                <w:lang w:eastAsia="nl-NL"/>
              </w:rPr>
              <w:t xml:space="preserve"> verrekend. </w:t>
            </w:r>
            <w:r w:rsidRPr="009815C6">
              <w:rPr>
                <w:rFonts w:ascii="Calibri (Hoofdtekst)" w:eastAsia="Times New Roman" w:hAnsi="Calibri (Hoofdtekst)" w:cs="Calibri"/>
                <w:color w:val="000000"/>
                <w:lang w:eastAsia="nl-NL"/>
              </w:rPr>
              <w:t>Deze beide kostencomponenten dienen dan ook in het Prijzenblad te worden gespecificeerd.</w:t>
            </w:r>
          </w:p>
        </w:tc>
      </w:tr>
      <w:tr w:rsidR="009815C6" w:rsidRPr="009815C6" w14:paraId="2F1C0434" w14:textId="77777777" w:rsidTr="009815C6">
        <w:trPr>
          <w:trHeight w:val="2304"/>
        </w:trPr>
        <w:tc>
          <w:tcPr>
            <w:tcW w:w="940" w:type="dxa"/>
            <w:shd w:val="clear" w:color="auto" w:fill="auto"/>
            <w:hideMark/>
          </w:tcPr>
          <w:p w14:paraId="09F74B9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26</w:t>
            </w:r>
          </w:p>
        </w:tc>
        <w:tc>
          <w:tcPr>
            <w:tcW w:w="3000" w:type="dxa"/>
            <w:shd w:val="clear" w:color="auto" w:fill="auto"/>
            <w:hideMark/>
          </w:tcPr>
          <w:p w14:paraId="6F1B5CE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artikel 5.3</w:t>
            </w:r>
          </w:p>
        </w:tc>
        <w:tc>
          <w:tcPr>
            <w:tcW w:w="4566" w:type="dxa"/>
            <w:shd w:val="clear" w:color="auto" w:fill="auto"/>
            <w:hideMark/>
          </w:tcPr>
          <w:p w14:paraId="07C91372" w14:textId="08753E36"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Is het een idee dat de subsidie wordt ingezet om investeringen te betalen van de netwerkoperators? In dat geval heb je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een aanvangsinvestering die voldaan moet worden aan de netwerkoperator en lagere maandlasten voor de publieke omroepen omdat de afschrijvingen al voldaan zijn. De </w:t>
            </w:r>
            <w:proofErr w:type="spellStart"/>
            <w:r w:rsidRPr="009815C6">
              <w:rPr>
                <w:rFonts w:ascii="Calibri" w:eastAsia="Times New Roman" w:hAnsi="Calibri" w:cs="Calibri"/>
                <w:color w:val="000000"/>
                <w:lang w:eastAsia="nl-NL"/>
              </w:rPr>
              <w:t>commerciele</w:t>
            </w:r>
            <w:proofErr w:type="spellEnd"/>
            <w:r w:rsidRPr="009815C6">
              <w:rPr>
                <w:rFonts w:ascii="Calibri" w:eastAsia="Times New Roman" w:hAnsi="Calibri" w:cs="Calibri"/>
                <w:color w:val="000000"/>
                <w:lang w:eastAsia="nl-NL"/>
              </w:rPr>
              <w:t xml:space="preserve"> omroepen betalen dan naar verhouding hogere maandvergoedingen omdat zij de afschrijvingen nog moeten voldoen.</w:t>
            </w:r>
          </w:p>
        </w:tc>
        <w:tc>
          <w:tcPr>
            <w:tcW w:w="2977" w:type="dxa"/>
            <w:shd w:val="clear" w:color="auto" w:fill="auto"/>
            <w:hideMark/>
          </w:tcPr>
          <w:p w14:paraId="47FBAEF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1D75110E" w14:textId="7D0F71D4"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 subsidie die NLPO beschikbaar heeft zal worden aangewend om de maandvergoedingen die Netwerkoperator aan NLPO in rekening brengt voor het PO deel van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gedurende een nader te bepalen periode te voldoen. Een en ander zal in de aangepaste VTO documenten (die 17 juli gepubliceerd worden) nader toegelicht worden.</w:t>
            </w:r>
          </w:p>
        </w:tc>
      </w:tr>
      <w:tr w:rsidR="009815C6" w:rsidRPr="009815C6" w14:paraId="2DA5FD3E" w14:textId="77777777" w:rsidTr="009815C6">
        <w:trPr>
          <w:trHeight w:val="2304"/>
        </w:trPr>
        <w:tc>
          <w:tcPr>
            <w:tcW w:w="940" w:type="dxa"/>
            <w:shd w:val="clear" w:color="auto" w:fill="auto"/>
            <w:hideMark/>
          </w:tcPr>
          <w:p w14:paraId="60DA089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27</w:t>
            </w:r>
          </w:p>
        </w:tc>
        <w:tc>
          <w:tcPr>
            <w:tcW w:w="3000" w:type="dxa"/>
            <w:shd w:val="clear" w:color="auto" w:fill="auto"/>
            <w:hideMark/>
          </w:tcPr>
          <w:p w14:paraId="27898B6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artikel 11.2</w:t>
            </w:r>
          </w:p>
        </w:tc>
        <w:tc>
          <w:tcPr>
            <w:tcW w:w="4566" w:type="dxa"/>
            <w:shd w:val="clear" w:color="auto" w:fill="auto"/>
            <w:hideMark/>
          </w:tcPr>
          <w:p w14:paraId="62B6183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Het risico van ontbinding wordt grotendeels bij de Netwerkoperator gelegd, terwijl het buiten haar beïnvloeding sfeer ligt. De afkoopsommen conform artikel 11.8 zijn veel te laag. Dit vinden wij niet realistisch. Artikel 11.2.4 kan ons inziens wel een opschortende werking hebben, maar geen ontbindende werking.</w:t>
            </w:r>
          </w:p>
        </w:tc>
        <w:tc>
          <w:tcPr>
            <w:tcW w:w="2977" w:type="dxa"/>
            <w:shd w:val="clear" w:color="auto" w:fill="auto"/>
            <w:hideMark/>
          </w:tcPr>
          <w:p w14:paraId="7ECB73A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E20DC0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De raamovereenkomst is hierop aangepast. Ontbindende voorwaarden 11.2.4. en 11.2.5. zijn verwijderd. Het wegvallen van de financiering voor NLPO blijft echter wel een ontbindende voorwaarde. Daarvoor gelden echter de aangegeven afkoopsommen voor de dan resterende looptijd. Zie verder antwoord bij vraag 19</w:t>
            </w:r>
          </w:p>
        </w:tc>
      </w:tr>
      <w:tr w:rsidR="009815C6" w:rsidRPr="009815C6" w14:paraId="433B8C2A" w14:textId="77777777" w:rsidTr="009815C6">
        <w:trPr>
          <w:trHeight w:val="4032"/>
        </w:trPr>
        <w:tc>
          <w:tcPr>
            <w:tcW w:w="940" w:type="dxa"/>
            <w:shd w:val="clear" w:color="auto" w:fill="auto"/>
            <w:hideMark/>
          </w:tcPr>
          <w:p w14:paraId="53F1014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28</w:t>
            </w:r>
          </w:p>
        </w:tc>
        <w:tc>
          <w:tcPr>
            <w:tcW w:w="3000" w:type="dxa"/>
            <w:shd w:val="clear" w:color="auto" w:fill="auto"/>
            <w:hideMark/>
          </w:tcPr>
          <w:p w14:paraId="5FCBAF4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artikel 11.5</w:t>
            </w:r>
          </w:p>
        </w:tc>
        <w:tc>
          <w:tcPr>
            <w:tcW w:w="4566" w:type="dxa"/>
            <w:shd w:val="clear" w:color="auto" w:fill="auto"/>
            <w:hideMark/>
          </w:tcPr>
          <w:p w14:paraId="24101B80" w14:textId="028309CB"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Technische en financiële situatie is mede afhankelijk van aantal deelnemers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Indien deze gedurende looptijd wijzigt kan het meer of minder effect hebben, bijv. voor 12 deelnemers zijn 2 DAB+ ontvangers nodig, voor 4 deelnemers volstaat 1 DAB+ ontvanger. Hoe moeten we hiermee omgaan in de prijsstelling?</w:t>
            </w:r>
          </w:p>
        </w:tc>
        <w:tc>
          <w:tcPr>
            <w:tcW w:w="2977" w:type="dxa"/>
            <w:shd w:val="clear" w:color="auto" w:fill="auto"/>
            <w:hideMark/>
          </w:tcPr>
          <w:p w14:paraId="18FBB5C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zie ook vraag 3 en 4</w:t>
            </w:r>
          </w:p>
        </w:tc>
        <w:tc>
          <w:tcPr>
            <w:tcW w:w="3969" w:type="dxa"/>
            <w:shd w:val="clear" w:color="auto" w:fill="auto"/>
            <w:hideMark/>
          </w:tcPr>
          <w:p w14:paraId="0B793038" w14:textId="4C71C05D"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Artikel 11.5 wordt geherformuleerd. Zoals in deze Nota van Inlichtingen aangegeven (zie antwoord vraag 23) is het in principe niet direct noodzakelijk om de netwerkconfiguratie aan te passen indien het aantal vergunninghouders onder 8 zakt (en dus een lagere IGV toe te passen). Mochten er echter gedurende de looptijd problemen ontstaan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doordat vergunninghouders door het afgenomen aantal vergunninghouders, niet meer aan hun </w:t>
            </w:r>
            <w:proofErr w:type="spellStart"/>
            <w:r w:rsidRPr="009815C6">
              <w:rPr>
                <w:rFonts w:ascii="Calibri" w:eastAsia="Times New Roman" w:hAnsi="Calibri" w:cs="Calibri"/>
                <w:color w:val="000000"/>
                <w:lang w:eastAsia="nl-NL"/>
              </w:rPr>
              <w:t>financiele</w:t>
            </w:r>
            <w:proofErr w:type="spellEnd"/>
            <w:r w:rsidRPr="009815C6">
              <w:rPr>
                <w:rFonts w:ascii="Calibri" w:eastAsia="Times New Roman" w:hAnsi="Calibri" w:cs="Calibri"/>
                <w:color w:val="000000"/>
                <w:lang w:eastAsia="nl-NL"/>
              </w:rPr>
              <w:t xml:space="preserve"> verplichtingen kunnen voldoen, dan zal Opdrachtgever in overleg treden met de (dan) opdrachtnemer om een passende oplossing te vinden om de kosten voor het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(indien mogelijk) ter verlagen.</w:t>
            </w:r>
          </w:p>
        </w:tc>
      </w:tr>
      <w:tr w:rsidR="009815C6" w:rsidRPr="009815C6" w14:paraId="4258487E" w14:textId="77777777" w:rsidTr="009815C6">
        <w:trPr>
          <w:trHeight w:val="288"/>
        </w:trPr>
        <w:tc>
          <w:tcPr>
            <w:tcW w:w="940" w:type="dxa"/>
            <w:shd w:val="clear" w:color="auto" w:fill="auto"/>
            <w:hideMark/>
          </w:tcPr>
          <w:p w14:paraId="5E7D0D7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29</w:t>
            </w:r>
          </w:p>
        </w:tc>
        <w:tc>
          <w:tcPr>
            <w:tcW w:w="3000" w:type="dxa"/>
            <w:shd w:val="clear" w:color="auto" w:fill="auto"/>
            <w:hideMark/>
          </w:tcPr>
          <w:p w14:paraId="7E7A386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artikel 11.6</w:t>
            </w:r>
          </w:p>
        </w:tc>
        <w:tc>
          <w:tcPr>
            <w:tcW w:w="4566" w:type="dxa"/>
            <w:shd w:val="clear" w:color="auto" w:fill="auto"/>
            <w:hideMark/>
          </w:tcPr>
          <w:p w14:paraId="31D31E7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Bedoeld wordt artikel 11 i.p.v. 12</w:t>
            </w:r>
          </w:p>
        </w:tc>
        <w:tc>
          <w:tcPr>
            <w:tcW w:w="2977" w:type="dxa"/>
            <w:shd w:val="clear" w:color="auto" w:fill="auto"/>
            <w:hideMark/>
          </w:tcPr>
          <w:p w14:paraId="0B447AB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D23D2B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Heel scherp, dit is aangepast naar artikel 11. </w:t>
            </w:r>
          </w:p>
        </w:tc>
      </w:tr>
      <w:tr w:rsidR="009815C6" w:rsidRPr="009815C6" w14:paraId="6379C769" w14:textId="77777777" w:rsidTr="009815C6">
        <w:trPr>
          <w:trHeight w:val="2016"/>
        </w:trPr>
        <w:tc>
          <w:tcPr>
            <w:tcW w:w="940" w:type="dxa"/>
            <w:shd w:val="clear" w:color="auto" w:fill="auto"/>
            <w:hideMark/>
          </w:tcPr>
          <w:p w14:paraId="4FE1ED9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30</w:t>
            </w:r>
          </w:p>
        </w:tc>
        <w:tc>
          <w:tcPr>
            <w:tcW w:w="3000" w:type="dxa"/>
            <w:shd w:val="clear" w:color="auto" w:fill="auto"/>
            <w:hideMark/>
          </w:tcPr>
          <w:p w14:paraId="29641E8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Raamovereenkomst artikel 11.7</w:t>
            </w:r>
          </w:p>
        </w:tc>
        <w:tc>
          <w:tcPr>
            <w:tcW w:w="4566" w:type="dxa"/>
            <w:shd w:val="clear" w:color="auto" w:fill="auto"/>
            <w:hideMark/>
          </w:tcPr>
          <w:p w14:paraId="00F32F9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Artikel 11.7 geldt alleen in geval artikel 11.1, maar niet in geval van artikel 11.2. Primair vinden we dat artikel 11.2 aangepast of uit de raamovereenkomst moet. NLPO kiest er dan zelf voor om vroegtijdig te beëindigen.</w:t>
            </w:r>
          </w:p>
        </w:tc>
        <w:tc>
          <w:tcPr>
            <w:tcW w:w="2977" w:type="dxa"/>
            <w:shd w:val="clear" w:color="auto" w:fill="auto"/>
            <w:hideMark/>
          </w:tcPr>
          <w:p w14:paraId="0C7600A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 In de praktijk kan de NLPO niets met deze apparatuur zonder antennes etc. Beter lijkt het om deze overname mogelijkheid te schrappen.</w:t>
            </w:r>
          </w:p>
        </w:tc>
        <w:tc>
          <w:tcPr>
            <w:tcW w:w="3969" w:type="dxa"/>
            <w:shd w:val="clear" w:color="auto" w:fill="auto"/>
            <w:hideMark/>
          </w:tcPr>
          <w:p w14:paraId="260330F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Artikel 11.7 is geschrapt.</w:t>
            </w:r>
          </w:p>
        </w:tc>
      </w:tr>
      <w:tr w:rsidR="009815C6" w:rsidRPr="009815C6" w14:paraId="0AB2DB44" w14:textId="77777777" w:rsidTr="009815C6">
        <w:trPr>
          <w:trHeight w:val="5760"/>
        </w:trPr>
        <w:tc>
          <w:tcPr>
            <w:tcW w:w="940" w:type="dxa"/>
            <w:shd w:val="clear" w:color="auto" w:fill="auto"/>
            <w:hideMark/>
          </w:tcPr>
          <w:p w14:paraId="51E3E34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31</w:t>
            </w:r>
          </w:p>
        </w:tc>
        <w:tc>
          <w:tcPr>
            <w:tcW w:w="3000" w:type="dxa"/>
            <w:shd w:val="clear" w:color="auto" w:fill="auto"/>
            <w:hideMark/>
          </w:tcPr>
          <w:p w14:paraId="2E92A13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 4.4.1 Prijzenblad b</w:t>
            </w:r>
          </w:p>
        </w:tc>
        <w:tc>
          <w:tcPr>
            <w:tcW w:w="4566" w:type="dxa"/>
            <w:shd w:val="clear" w:color="auto" w:fill="auto"/>
            <w:hideMark/>
          </w:tcPr>
          <w:p w14:paraId="4A406C76" w14:textId="036378BE"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Bij definitieve aanbieding (op 31 oktober 2024 in het VTO proces), wordt een prijs per vergunninghouder per maand ingediend: dit moet toch zijn een prijs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 M.a.w. als er 12 aanbieders zijn en er valt gedurende de looptijd een vergunninghouder af dan blijft de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vergoeding</w:t>
            </w:r>
            <w:proofErr w:type="spellEnd"/>
            <w:r w:rsidRPr="009815C6">
              <w:rPr>
                <w:rFonts w:ascii="Calibri" w:eastAsia="Times New Roman" w:hAnsi="Calibri" w:cs="Calibri"/>
                <w:color w:val="000000"/>
                <w:lang w:eastAsia="nl-NL"/>
              </w:rPr>
              <w:t xml:space="preserve"> identiek ? </w:t>
            </w:r>
          </w:p>
        </w:tc>
        <w:tc>
          <w:tcPr>
            <w:tcW w:w="2977" w:type="dxa"/>
            <w:shd w:val="clear" w:color="auto" w:fill="auto"/>
            <w:hideMark/>
          </w:tcPr>
          <w:p w14:paraId="248DD9C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zie ook vraag 3 en 4</w:t>
            </w:r>
          </w:p>
        </w:tc>
        <w:tc>
          <w:tcPr>
            <w:tcW w:w="3969" w:type="dxa"/>
            <w:shd w:val="clear" w:color="auto" w:fill="auto"/>
            <w:hideMark/>
          </w:tcPr>
          <w:p w14:paraId="70E7E115" w14:textId="46B0FFA2"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vergoeding</w:t>
            </w:r>
            <w:proofErr w:type="spellEnd"/>
            <w:r w:rsidRPr="009815C6">
              <w:rPr>
                <w:rFonts w:ascii="Calibri" w:eastAsia="Times New Roman" w:hAnsi="Calibri" w:cs="Calibri"/>
                <w:color w:val="000000"/>
                <w:lang w:eastAsia="nl-NL"/>
              </w:rPr>
              <w:t xml:space="preserve"> blijft gelijk gedurende de looptijd, conform de vastgelegde prijs, na eventuele optimalisatiefase (zie planning VTO)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Dit is in principe onafhankelijk van het eventueel wijzigende aantal vergunninghouders in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Behoudens, zoals aangegeven bij vraag 23 en 28, indien bij een daling van het aantal vergunninghouders onder de 8, partijen niet meer aan hun </w:t>
            </w:r>
            <w:r w:rsidR="007332DD" w:rsidRPr="009815C6">
              <w:rPr>
                <w:rFonts w:ascii="Calibri" w:eastAsia="Times New Roman" w:hAnsi="Calibri" w:cs="Calibri"/>
                <w:color w:val="000000"/>
                <w:lang w:eastAsia="nl-NL"/>
              </w:rPr>
              <w:t>verplichtingen</w:t>
            </w:r>
            <w:r w:rsidRPr="009815C6">
              <w:rPr>
                <w:rFonts w:ascii="Calibri" w:eastAsia="Times New Roman" w:hAnsi="Calibri" w:cs="Calibri"/>
                <w:color w:val="000000"/>
                <w:lang w:eastAsia="nl-NL"/>
              </w:rPr>
              <w:t xml:space="preserve"> kunnen voldoen. Het is echter voor NLPO belangrijk om het PO deel van de maandvergoeding te weten bij definitieve aanbieding en gunning omdat hier de beschikbare subsidie door NLPO op zal worden ingezet. Het </w:t>
            </w:r>
            <w:r w:rsidR="007332DD" w:rsidRPr="009815C6">
              <w:rPr>
                <w:rFonts w:ascii="Calibri" w:eastAsia="Times New Roman" w:hAnsi="Calibri" w:cs="Calibri"/>
                <w:color w:val="000000"/>
                <w:lang w:eastAsia="nl-NL"/>
              </w:rPr>
              <w:t>Prijzen blad</w:t>
            </w:r>
            <w:r w:rsidRPr="009815C6">
              <w:rPr>
                <w:rFonts w:ascii="Calibri" w:eastAsia="Times New Roman" w:hAnsi="Calibri" w:cs="Calibri"/>
                <w:color w:val="000000"/>
                <w:lang w:eastAsia="nl-NL"/>
              </w:rPr>
              <w:t xml:space="preserve"> is hier nu wel op aangepast. In zoverre dat het </w:t>
            </w:r>
            <w:r w:rsidR="007332DD" w:rsidRPr="009815C6">
              <w:rPr>
                <w:rFonts w:ascii="Calibri" w:eastAsia="Times New Roman" w:hAnsi="Calibri" w:cs="Calibri"/>
                <w:color w:val="000000"/>
                <w:lang w:eastAsia="nl-NL"/>
              </w:rPr>
              <w:t>maandbedrag</w:t>
            </w:r>
            <w:r w:rsidRPr="009815C6">
              <w:rPr>
                <w:rFonts w:ascii="Calibri" w:eastAsia="Times New Roman" w:hAnsi="Calibri" w:cs="Calibri"/>
                <w:color w:val="000000"/>
                <w:lang w:eastAsia="nl-NL"/>
              </w:rPr>
              <w:t xml:space="preserve"> per vergunninghouder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automatisch in de sheet wordt berekend. Netwerkoperator hoeft dus (ook bij definitieve aanbieding) alleen een prijs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aan te geven.</w:t>
            </w:r>
          </w:p>
        </w:tc>
      </w:tr>
      <w:tr w:rsidR="009815C6" w:rsidRPr="009815C6" w14:paraId="25DDF556" w14:textId="77777777" w:rsidTr="009815C6">
        <w:trPr>
          <w:trHeight w:val="2016"/>
        </w:trPr>
        <w:tc>
          <w:tcPr>
            <w:tcW w:w="940" w:type="dxa"/>
            <w:shd w:val="clear" w:color="auto" w:fill="auto"/>
            <w:hideMark/>
          </w:tcPr>
          <w:p w14:paraId="0A92844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32</w:t>
            </w:r>
          </w:p>
        </w:tc>
        <w:tc>
          <w:tcPr>
            <w:tcW w:w="3000" w:type="dxa"/>
            <w:shd w:val="clear" w:color="auto" w:fill="auto"/>
            <w:hideMark/>
          </w:tcPr>
          <w:p w14:paraId="31E8DFE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 4.4.1 Prijzenblad b</w:t>
            </w:r>
          </w:p>
        </w:tc>
        <w:tc>
          <w:tcPr>
            <w:tcW w:w="4566" w:type="dxa"/>
            <w:shd w:val="clear" w:color="auto" w:fill="auto"/>
            <w:hideMark/>
          </w:tcPr>
          <w:p w14:paraId="4DE24110" w14:textId="66078DA8"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Is aan of afsluiten van een vergunninghouder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meerwerk? </w:t>
            </w:r>
            <w:r w:rsidR="002924B8">
              <w:rPr>
                <w:rFonts w:ascii="Calibri" w:eastAsia="Times New Roman" w:hAnsi="Calibri" w:cs="Calibri"/>
                <w:color w:val="000000"/>
                <w:lang w:eastAsia="nl-NL"/>
              </w:rPr>
              <w:t>[aanbieder]</w:t>
            </w:r>
            <w:r w:rsidRPr="009815C6">
              <w:rPr>
                <w:rFonts w:ascii="Calibri" w:eastAsia="Times New Roman" w:hAnsi="Calibri" w:cs="Calibri"/>
                <w:color w:val="000000"/>
                <w:lang w:eastAsia="nl-NL"/>
              </w:rPr>
              <w:t xml:space="preserve"> stelt voor hier een </w:t>
            </w:r>
            <w:proofErr w:type="spellStart"/>
            <w:r w:rsidRPr="009815C6">
              <w:rPr>
                <w:rFonts w:ascii="Calibri" w:eastAsia="Times New Roman" w:hAnsi="Calibri" w:cs="Calibri"/>
                <w:color w:val="000000"/>
                <w:lang w:eastAsia="nl-NL"/>
              </w:rPr>
              <w:t>lump</w:t>
            </w:r>
            <w:proofErr w:type="spellEnd"/>
            <w:r w:rsidRPr="009815C6">
              <w:rPr>
                <w:rFonts w:ascii="Calibri" w:eastAsia="Times New Roman" w:hAnsi="Calibri" w:cs="Calibri"/>
                <w:color w:val="000000"/>
                <w:lang w:eastAsia="nl-NL"/>
              </w:rPr>
              <w:t xml:space="preserve"> </w:t>
            </w:r>
            <w:proofErr w:type="spellStart"/>
            <w:r w:rsidRPr="009815C6">
              <w:rPr>
                <w:rFonts w:ascii="Calibri" w:eastAsia="Times New Roman" w:hAnsi="Calibri" w:cs="Calibri"/>
                <w:color w:val="000000"/>
                <w:lang w:eastAsia="nl-NL"/>
              </w:rPr>
              <w:t>sum</w:t>
            </w:r>
            <w:proofErr w:type="spellEnd"/>
            <w:r w:rsidRPr="009815C6">
              <w:rPr>
                <w:rFonts w:ascii="Calibri" w:eastAsia="Times New Roman" w:hAnsi="Calibri" w:cs="Calibri"/>
                <w:color w:val="000000"/>
                <w:lang w:eastAsia="nl-NL"/>
              </w:rPr>
              <w:t xml:space="preserve"> van € 225,-- </w:t>
            </w:r>
            <w:proofErr w:type="spellStart"/>
            <w:r w:rsidRPr="009815C6">
              <w:rPr>
                <w:rFonts w:ascii="Calibri" w:eastAsia="Times New Roman" w:hAnsi="Calibri" w:cs="Calibri"/>
                <w:color w:val="000000"/>
                <w:lang w:eastAsia="nl-NL"/>
              </w:rPr>
              <w:t>excl</w:t>
            </w:r>
            <w:proofErr w:type="spellEnd"/>
            <w:r w:rsidRPr="009815C6">
              <w:rPr>
                <w:rFonts w:ascii="Calibri" w:eastAsia="Times New Roman" w:hAnsi="Calibri" w:cs="Calibri"/>
                <w:color w:val="000000"/>
                <w:lang w:eastAsia="nl-NL"/>
              </w:rPr>
              <w:t xml:space="preserve"> BTW voor te hanteren.</w:t>
            </w:r>
          </w:p>
        </w:tc>
        <w:tc>
          <w:tcPr>
            <w:tcW w:w="2977" w:type="dxa"/>
            <w:shd w:val="clear" w:color="auto" w:fill="auto"/>
            <w:hideMark/>
          </w:tcPr>
          <w:p w14:paraId="7BE6D9B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623BA962" w14:textId="634B19B6"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Het aansluiten van </w:t>
            </w:r>
            <w:r w:rsidR="007332DD" w:rsidRPr="009815C6">
              <w:rPr>
                <w:rFonts w:ascii="Calibri" w:eastAsia="Times New Roman" w:hAnsi="Calibri" w:cs="Calibri"/>
                <w:color w:val="000000"/>
                <w:lang w:eastAsia="nl-NL"/>
              </w:rPr>
              <w:t>vergunninghouders</w:t>
            </w:r>
            <w:r w:rsidRPr="009815C6">
              <w:rPr>
                <w:rFonts w:ascii="Calibri" w:eastAsia="Times New Roman" w:hAnsi="Calibri" w:cs="Calibri"/>
                <w:color w:val="000000"/>
                <w:lang w:eastAsia="nl-NL"/>
              </w:rPr>
              <w:t xml:space="preserve"> kan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op voorhand berekenen bij indienen van de (definitieve) aanbieding. Dit zal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dan gewoon in zijn maandvergoeding moeten incalculeren. Het afsluiten van vergunninghouders kunnen geen kosten voor in rekening gebracht worden.</w:t>
            </w:r>
          </w:p>
        </w:tc>
      </w:tr>
      <w:tr w:rsidR="009815C6" w:rsidRPr="009815C6" w14:paraId="58680F5C" w14:textId="77777777" w:rsidTr="009815C6">
        <w:trPr>
          <w:trHeight w:val="576"/>
        </w:trPr>
        <w:tc>
          <w:tcPr>
            <w:tcW w:w="940" w:type="dxa"/>
            <w:shd w:val="clear" w:color="auto" w:fill="auto"/>
            <w:hideMark/>
          </w:tcPr>
          <w:p w14:paraId="4F19AAD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33</w:t>
            </w:r>
          </w:p>
        </w:tc>
        <w:tc>
          <w:tcPr>
            <w:tcW w:w="3000" w:type="dxa"/>
            <w:shd w:val="clear" w:color="auto" w:fill="auto"/>
            <w:hideMark/>
          </w:tcPr>
          <w:p w14:paraId="26BB3E8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 4.4.2 OPTIE: Overname apparatuur</w:t>
            </w:r>
          </w:p>
        </w:tc>
        <w:tc>
          <w:tcPr>
            <w:tcW w:w="4566" w:type="dxa"/>
            <w:shd w:val="clear" w:color="auto" w:fill="auto"/>
            <w:hideMark/>
          </w:tcPr>
          <w:p w14:paraId="785AFE7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 In de praktijk kan de NLPO niets met deze apparatuur zonder antennes etc. Beter lijkt het om deze overname mogelijkheid te schrappen.</w:t>
            </w:r>
          </w:p>
        </w:tc>
        <w:tc>
          <w:tcPr>
            <w:tcW w:w="2977" w:type="dxa"/>
            <w:shd w:val="clear" w:color="auto" w:fill="auto"/>
            <w:hideMark/>
          </w:tcPr>
          <w:p w14:paraId="55E0D5E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2D7ABB16" w14:textId="6A9E81A0"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Optie voor overname </w:t>
            </w:r>
            <w:r w:rsidR="007332DD" w:rsidRPr="009815C6">
              <w:rPr>
                <w:rFonts w:ascii="Calibri" w:eastAsia="Times New Roman" w:hAnsi="Calibri" w:cs="Calibri"/>
                <w:color w:val="000000"/>
                <w:lang w:eastAsia="nl-NL"/>
              </w:rPr>
              <w:t>apparatuur</w:t>
            </w:r>
            <w:r w:rsidRPr="009815C6">
              <w:rPr>
                <w:rFonts w:ascii="Calibri" w:eastAsia="Times New Roman" w:hAnsi="Calibri" w:cs="Calibri"/>
                <w:color w:val="000000"/>
                <w:lang w:eastAsia="nl-NL"/>
              </w:rPr>
              <w:t xml:space="preserve"> is geschrapt.</w:t>
            </w:r>
          </w:p>
        </w:tc>
      </w:tr>
      <w:tr w:rsidR="009815C6" w:rsidRPr="009815C6" w14:paraId="54A855C5" w14:textId="77777777" w:rsidTr="009815C6">
        <w:trPr>
          <w:trHeight w:val="288"/>
        </w:trPr>
        <w:tc>
          <w:tcPr>
            <w:tcW w:w="940" w:type="dxa"/>
            <w:shd w:val="clear" w:color="auto" w:fill="auto"/>
            <w:hideMark/>
          </w:tcPr>
          <w:p w14:paraId="2B222A7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34</w:t>
            </w:r>
          </w:p>
        </w:tc>
        <w:tc>
          <w:tcPr>
            <w:tcW w:w="3000" w:type="dxa"/>
            <w:shd w:val="clear" w:color="auto" w:fill="auto"/>
            <w:hideMark/>
          </w:tcPr>
          <w:p w14:paraId="58C4F71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VTO/ 4.4.5 </w:t>
            </w:r>
            <w:proofErr w:type="spellStart"/>
            <w:r w:rsidRPr="009815C6">
              <w:rPr>
                <w:rFonts w:ascii="Calibri" w:eastAsia="Times New Roman" w:hAnsi="Calibri" w:cs="Calibri"/>
                <w:color w:val="000000"/>
                <w:lang w:eastAsia="nl-NL"/>
              </w:rPr>
              <w:t>Beeordeling</w:t>
            </w:r>
            <w:proofErr w:type="spellEnd"/>
            <w:r w:rsidRPr="009815C6">
              <w:rPr>
                <w:rFonts w:ascii="Calibri" w:eastAsia="Times New Roman" w:hAnsi="Calibri" w:cs="Calibri"/>
                <w:color w:val="000000"/>
                <w:lang w:eastAsia="nl-NL"/>
              </w:rPr>
              <w:t xml:space="preserve"> prijs</w:t>
            </w:r>
          </w:p>
        </w:tc>
        <w:tc>
          <w:tcPr>
            <w:tcW w:w="4566" w:type="dxa"/>
            <w:shd w:val="clear" w:color="auto" w:fill="auto"/>
            <w:hideMark/>
          </w:tcPr>
          <w:p w14:paraId="17482CF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Kunt u een rekenvoorbeeld geven met een P van 100 en een LP van 95 ?</w:t>
            </w:r>
          </w:p>
        </w:tc>
        <w:tc>
          <w:tcPr>
            <w:tcW w:w="2977" w:type="dxa"/>
            <w:shd w:val="clear" w:color="auto" w:fill="auto"/>
            <w:hideMark/>
          </w:tcPr>
          <w:p w14:paraId="46F199A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3DA09607" w14:textId="0E4EA066" w:rsidR="009815C6" w:rsidRPr="009815C6" w:rsidRDefault="002924B8" w:rsidP="009815C6">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Een</w:t>
            </w:r>
            <w:r w:rsidR="009815C6" w:rsidRPr="009815C6">
              <w:rPr>
                <w:rFonts w:ascii="Calibri" w:eastAsia="Times New Roman" w:hAnsi="Calibri" w:cs="Calibri"/>
                <w:color w:val="000000"/>
                <w:lang w:eastAsia="nl-NL"/>
              </w:rPr>
              <w:t xml:space="preserve"> voorbeeld is opgenomen </w:t>
            </w:r>
            <w:r w:rsidR="007332DD">
              <w:rPr>
                <w:rFonts w:ascii="Calibri" w:eastAsia="Times New Roman" w:hAnsi="Calibri" w:cs="Calibri"/>
                <w:color w:val="000000"/>
                <w:lang w:eastAsia="nl-NL"/>
              </w:rPr>
              <w:t>op pagina 35 van deze nota van inlichtingen</w:t>
            </w:r>
          </w:p>
        </w:tc>
      </w:tr>
      <w:tr w:rsidR="009815C6" w:rsidRPr="009815C6" w14:paraId="2E368197" w14:textId="77777777" w:rsidTr="009815C6">
        <w:trPr>
          <w:trHeight w:val="3456"/>
        </w:trPr>
        <w:tc>
          <w:tcPr>
            <w:tcW w:w="940" w:type="dxa"/>
            <w:shd w:val="clear" w:color="auto" w:fill="auto"/>
            <w:hideMark/>
          </w:tcPr>
          <w:p w14:paraId="58EF4E7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35</w:t>
            </w:r>
          </w:p>
        </w:tc>
        <w:tc>
          <w:tcPr>
            <w:tcW w:w="3000" w:type="dxa"/>
            <w:shd w:val="clear" w:color="auto" w:fill="auto"/>
            <w:hideMark/>
          </w:tcPr>
          <w:p w14:paraId="6FA30F2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VTO/ 5.7 Voorbehouden</w:t>
            </w:r>
          </w:p>
        </w:tc>
        <w:tc>
          <w:tcPr>
            <w:tcW w:w="4566" w:type="dxa"/>
            <w:shd w:val="clear" w:color="auto" w:fill="auto"/>
            <w:hideMark/>
          </w:tcPr>
          <w:p w14:paraId="5D88A9F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De kosten voor het opstellen van de gegevens voor de VTO bedragen een veelvoud van de vergoedingen in paragraaf 5.1. Voorstel is om de voorbehouden te beperken (bijv. opdracht niet te gunnen) of de vergoedingen te verhogen indien een voorbehoud wordt ingeroepen.</w:t>
            </w:r>
          </w:p>
        </w:tc>
        <w:tc>
          <w:tcPr>
            <w:tcW w:w="2977" w:type="dxa"/>
            <w:shd w:val="clear" w:color="auto" w:fill="auto"/>
            <w:hideMark/>
          </w:tcPr>
          <w:p w14:paraId="5EEDA3D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DB2C4D8" w14:textId="07B43A2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Aangepast: </w:t>
            </w:r>
            <w:r w:rsidRPr="009815C6">
              <w:rPr>
                <w:rFonts w:ascii="Calibri" w:eastAsia="Times New Roman" w:hAnsi="Calibri" w:cs="Calibri"/>
                <w:color w:val="000000"/>
                <w:lang w:eastAsia="nl-NL"/>
              </w:rPr>
              <w:br/>
              <w:t xml:space="preserve">bij de eerste </w:t>
            </w:r>
            <w:proofErr w:type="spellStart"/>
            <w:r w:rsidRPr="009815C6">
              <w:rPr>
                <w:rFonts w:ascii="Calibri" w:eastAsia="Times New Roman" w:hAnsi="Calibri" w:cs="Calibri"/>
                <w:color w:val="000000"/>
                <w:lang w:eastAsia="nl-NL"/>
              </w:rPr>
              <w:t>bull</w:t>
            </w:r>
            <w:r w:rsidR="00F64A65">
              <w:rPr>
                <w:rFonts w:ascii="Calibri" w:eastAsia="Times New Roman" w:hAnsi="Calibri" w:cs="Calibri"/>
                <w:color w:val="000000"/>
                <w:lang w:eastAsia="nl-NL"/>
              </w:rPr>
              <w:t>e</w:t>
            </w:r>
            <w:r w:rsidRPr="009815C6">
              <w:rPr>
                <w:rFonts w:ascii="Calibri" w:eastAsia="Times New Roman" w:hAnsi="Calibri" w:cs="Calibri"/>
                <w:color w:val="000000"/>
                <w:lang w:eastAsia="nl-NL"/>
              </w:rPr>
              <w:t>t</w:t>
            </w:r>
            <w:proofErr w:type="spellEnd"/>
            <w:r w:rsidRPr="009815C6">
              <w:rPr>
                <w:rFonts w:ascii="Calibri" w:eastAsia="Times New Roman" w:hAnsi="Calibri" w:cs="Calibri"/>
                <w:color w:val="000000"/>
                <w:lang w:eastAsia="nl-NL"/>
              </w:rPr>
              <w:t xml:space="preserve"> van 5.7 zal wel de in 5.1. aangegeven vergoeding worden uitgekeerd aan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s, indien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s bij </w:t>
            </w:r>
            <w:r w:rsidR="00F64A65" w:rsidRPr="009815C6">
              <w:rPr>
                <w:rFonts w:ascii="Calibri" w:eastAsia="Times New Roman" w:hAnsi="Calibri" w:cs="Calibri"/>
                <w:color w:val="000000"/>
                <w:lang w:eastAsia="nl-NL"/>
              </w:rPr>
              <w:t>initiële</w:t>
            </w:r>
            <w:r w:rsidRPr="009815C6">
              <w:rPr>
                <w:rFonts w:ascii="Calibri" w:eastAsia="Times New Roman" w:hAnsi="Calibri" w:cs="Calibri"/>
                <w:color w:val="000000"/>
                <w:lang w:eastAsia="nl-NL"/>
              </w:rPr>
              <w:t xml:space="preserve"> aanbieding voor alle (56/57)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een aanbieding hebben uitgebracht, op basis van de gevraagde specificaties en doorrekening. (In het geval Netwerkoperator zelf besluit om bij </w:t>
            </w:r>
            <w:r w:rsidR="00F64A65" w:rsidRPr="009815C6">
              <w:rPr>
                <w:rFonts w:ascii="Calibri" w:eastAsia="Times New Roman" w:hAnsi="Calibri" w:cs="Calibri"/>
                <w:color w:val="000000"/>
                <w:lang w:eastAsia="nl-NL"/>
              </w:rPr>
              <w:t>initiële</w:t>
            </w:r>
            <w:r w:rsidRPr="009815C6">
              <w:rPr>
                <w:rFonts w:ascii="Calibri" w:eastAsia="Times New Roman" w:hAnsi="Calibri" w:cs="Calibri"/>
                <w:color w:val="000000"/>
                <w:lang w:eastAsia="nl-NL"/>
              </w:rPr>
              <w:t xml:space="preserve"> aanbieding voor elk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2 berekeningen te maken en in te dienen (bij hoger of lager dan 8 vergunninghouders) dan geldt dit als 1 vergoeding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w:t>
            </w:r>
          </w:p>
        </w:tc>
      </w:tr>
      <w:tr w:rsidR="009815C6" w:rsidRPr="009815C6" w14:paraId="1CC6B1EC" w14:textId="77777777" w:rsidTr="009815C6">
        <w:trPr>
          <w:trHeight w:val="2592"/>
        </w:trPr>
        <w:tc>
          <w:tcPr>
            <w:tcW w:w="940" w:type="dxa"/>
            <w:shd w:val="clear" w:color="auto" w:fill="auto"/>
            <w:hideMark/>
          </w:tcPr>
          <w:p w14:paraId="7C163FA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36</w:t>
            </w:r>
          </w:p>
        </w:tc>
        <w:tc>
          <w:tcPr>
            <w:tcW w:w="3000" w:type="dxa"/>
            <w:shd w:val="clear" w:color="auto" w:fill="auto"/>
            <w:hideMark/>
          </w:tcPr>
          <w:p w14:paraId="7C9462D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10</w:t>
            </w:r>
          </w:p>
        </w:tc>
        <w:tc>
          <w:tcPr>
            <w:tcW w:w="4566" w:type="dxa"/>
            <w:shd w:val="clear" w:color="auto" w:fill="auto"/>
            <w:hideMark/>
          </w:tcPr>
          <w:p w14:paraId="63A10ACD" w14:textId="37283A73"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Ten aanzien van omroepen die later instappen of tussentijds uitstappen zal NLPO met de samenwerkingsverbanden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waar nodig afspraken vastleggen over de verrekening van kosten. Netwerkoperator dient gedurende de looptijd van het contract kosteloos medewerking te verlenen aan het aansluiten dan wel</w:t>
            </w:r>
            <w:r w:rsidRPr="009815C6">
              <w:rPr>
                <w:rFonts w:ascii="Calibri" w:eastAsia="Times New Roman" w:hAnsi="Calibri" w:cs="Calibri"/>
                <w:color w:val="000000"/>
                <w:lang w:eastAsia="nl-NL"/>
              </w:rPr>
              <w:br/>
              <w:t xml:space="preserve">afschakelen van vergunninghouders die binnen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instappen of uitstappen.</w:t>
            </w:r>
          </w:p>
        </w:tc>
        <w:tc>
          <w:tcPr>
            <w:tcW w:w="2977" w:type="dxa"/>
            <w:shd w:val="clear" w:color="auto" w:fill="auto"/>
            <w:hideMark/>
          </w:tcPr>
          <w:p w14:paraId="342850EF" w14:textId="4DCDAEAE"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Bij nieuwe toetreders worden door de Netwerkoperators extra kosten gemaakt. Wij zien dit als meerwerk. [</w:t>
            </w:r>
            <w:r>
              <w:rPr>
                <w:rFonts w:ascii="Calibri" w:eastAsia="Times New Roman" w:hAnsi="Calibri" w:cs="Calibri"/>
                <w:color w:val="000000"/>
                <w:lang w:eastAsia="nl-NL"/>
              </w:rPr>
              <w:t>aanbieder</w:t>
            </w:r>
            <w:r w:rsidRPr="009815C6">
              <w:rPr>
                <w:rFonts w:ascii="Calibri" w:eastAsia="Times New Roman" w:hAnsi="Calibri" w:cs="Calibri"/>
                <w:color w:val="000000"/>
                <w:lang w:eastAsia="nl-NL"/>
              </w:rPr>
              <w:t xml:space="preserve">]  stelt voor hier een </w:t>
            </w:r>
            <w:proofErr w:type="spellStart"/>
            <w:r w:rsidRPr="009815C6">
              <w:rPr>
                <w:rFonts w:ascii="Calibri" w:eastAsia="Times New Roman" w:hAnsi="Calibri" w:cs="Calibri"/>
                <w:color w:val="000000"/>
                <w:lang w:eastAsia="nl-NL"/>
              </w:rPr>
              <w:t>lump</w:t>
            </w:r>
            <w:proofErr w:type="spellEnd"/>
            <w:r w:rsidRPr="009815C6">
              <w:rPr>
                <w:rFonts w:ascii="Calibri" w:eastAsia="Times New Roman" w:hAnsi="Calibri" w:cs="Calibri"/>
                <w:color w:val="000000"/>
                <w:lang w:eastAsia="nl-NL"/>
              </w:rPr>
              <w:t xml:space="preserve"> </w:t>
            </w:r>
            <w:proofErr w:type="spellStart"/>
            <w:r w:rsidRPr="009815C6">
              <w:rPr>
                <w:rFonts w:ascii="Calibri" w:eastAsia="Times New Roman" w:hAnsi="Calibri" w:cs="Calibri"/>
                <w:color w:val="000000"/>
                <w:lang w:eastAsia="nl-NL"/>
              </w:rPr>
              <w:t>sum</w:t>
            </w:r>
            <w:proofErr w:type="spellEnd"/>
            <w:r w:rsidRPr="009815C6">
              <w:rPr>
                <w:rFonts w:ascii="Calibri" w:eastAsia="Times New Roman" w:hAnsi="Calibri" w:cs="Calibri"/>
                <w:color w:val="000000"/>
                <w:lang w:eastAsia="nl-NL"/>
              </w:rPr>
              <w:t xml:space="preserve"> van € 225,-- </w:t>
            </w:r>
            <w:proofErr w:type="spellStart"/>
            <w:r w:rsidRPr="009815C6">
              <w:rPr>
                <w:rFonts w:ascii="Calibri" w:eastAsia="Times New Roman" w:hAnsi="Calibri" w:cs="Calibri"/>
                <w:color w:val="000000"/>
                <w:lang w:eastAsia="nl-NL"/>
              </w:rPr>
              <w:t>excl</w:t>
            </w:r>
            <w:proofErr w:type="spellEnd"/>
            <w:r w:rsidRPr="009815C6">
              <w:rPr>
                <w:rFonts w:ascii="Calibri" w:eastAsia="Times New Roman" w:hAnsi="Calibri" w:cs="Calibri"/>
                <w:color w:val="000000"/>
                <w:lang w:eastAsia="nl-NL"/>
              </w:rPr>
              <w:t xml:space="preserve"> BTW voor te hanteren</w:t>
            </w:r>
          </w:p>
        </w:tc>
        <w:tc>
          <w:tcPr>
            <w:tcW w:w="3969" w:type="dxa"/>
            <w:shd w:val="clear" w:color="auto" w:fill="auto"/>
            <w:hideMark/>
          </w:tcPr>
          <w:p w14:paraId="09B5C15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Niet akkoord. Nieuwe toetreders zullen niet tot nauwelijks optreden. Het afschakelen van vergunninghouders kunnen geen kosten voor in rekening worden gebracht.</w:t>
            </w:r>
          </w:p>
        </w:tc>
      </w:tr>
      <w:tr w:rsidR="009815C6" w:rsidRPr="009815C6" w14:paraId="61E61181" w14:textId="77777777" w:rsidTr="009815C6">
        <w:trPr>
          <w:trHeight w:val="8192"/>
        </w:trPr>
        <w:tc>
          <w:tcPr>
            <w:tcW w:w="940" w:type="dxa"/>
            <w:shd w:val="clear" w:color="auto" w:fill="auto"/>
            <w:hideMark/>
          </w:tcPr>
          <w:p w14:paraId="0DA46E9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37</w:t>
            </w:r>
          </w:p>
        </w:tc>
        <w:tc>
          <w:tcPr>
            <w:tcW w:w="3000" w:type="dxa"/>
            <w:shd w:val="clear" w:color="auto" w:fill="auto"/>
            <w:hideMark/>
          </w:tcPr>
          <w:p w14:paraId="783492F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11</w:t>
            </w:r>
          </w:p>
        </w:tc>
        <w:tc>
          <w:tcPr>
            <w:tcW w:w="4566" w:type="dxa"/>
            <w:shd w:val="clear" w:color="auto" w:fill="auto"/>
            <w:hideMark/>
          </w:tcPr>
          <w:p w14:paraId="13F6F955" w14:textId="4F25A72E"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NLPO geeft er de voorkeur aan dat Netwerkoperator(s) in het bepalen van hun aanbod bij de tijdelijke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zo veel mogelijk rekening houden met het hergebruiken van de reeds aanwezige DAB+ infrastructuur bij desbetreffende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Netwerkoperator(s) wordt gevraagd om in hun voorstellen expliciet aan te geven hoe zij om gaan met de reeds aanwezige DAB+ infrastructuur in deze tijdelijke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in hoeverre er (op onderdelen) hergebruik toegepast wordt en wat het effect hiervan is op de maandprijs.</w:t>
            </w:r>
          </w:p>
        </w:tc>
        <w:tc>
          <w:tcPr>
            <w:tcW w:w="2977" w:type="dxa"/>
            <w:shd w:val="clear" w:color="auto" w:fill="auto"/>
            <w:hideMark/>
          </w:tcPr>
          <w:p w14:paraId="04C7DF11" w14:textId="6BDB3B2F"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 netwerk operator blijft verantwoordelijk voor de SLA. De NLPO meldt zelf dat huidige techniek niet voldoet. In de praktijk zal het lastig blijken om bestaande apparatuur over te nemen. Het merendeel van deze DAB+ zendinstallaties beschikt waarschijnlijk niet over de juiste apparaat specificaties, waaronder een CE keurmerk. Kan de NLPO een lijst aanleveren waarin per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een contactpersoon staat en de reeds in gebruik zijnde apparatuur en opstelpunt, zodat de netwerkoperator kan inventariseren of de reeds in gebruik zijnde apparatuur geschikt is voor her inzet en op basis hiervan de offerte kan opmaken? </w:t>
            </w:r>
          </w:p>
        </w:tc>
        <w:tc>
          <w:tcPr>
            <w:tcW w:w="3969" w:type="dxa"/>
            <w:shd w:val="clear" w:color="auto" w:fill="auto"/>
            <w:hideMark/>
          </w:tcPr>
          <w:p w14:paraId="02C53099" w14:textId="282797F3"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NLPO zal de bij het onderzoek naar de tijdelijke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opgestelde bijlage ter beschikking stellen waarin voor een deel van de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de gebruikte apparatuur is gespecificeerd. Tevens zal een lijst met contactpersonen</w:t>
            </w:r>
            <w:r>
              <w:rPr>
                <w:rFonts w:ascii="Calibri" w:eastAsia="Times New Roman" w:hAnsi="Calibri" w:cs="Calibri"/>
                <w:color w:val="000000"/>
                <w:lang w:eastAsia="nl-NL"/>
              </w:rPr>
              <w:t xml:space="preserve"> </w:t>
            </w:r>
            <w:r w:rsidRPr="009815C6">
              <w:rPr>
                <w:rFonts w:ascii="Calibri" w:eastAsia="Times New Roman" w:hAnsi="Calibri" w:cs="Calibri"/>
                <w:color w:val="000000"/>
                <w:lang w:eastAsia="nl-NL"/>
              </w:rPr>
              <w:t>in overleg met de omroepen (dus na keuze van de lokale omroepen) beschikbaar worden gesteld.</w:t>
            </w:r>
          </w:p>
        </w:tc>
      </w:tr>
      <w:tr w:rsidR="009815C6" w:rsidRPr="009815C6" w14:paraId="4F50A9EB" w14:textId="77777777" w:rsidTr="009815C6">
        <w:trPr>
          <w:trHeight w:val="2880"/>
        </w:trPr>
        <w:tc>
          <w:tcPr>
            <w:tcW w:w="940" w:type="dxa"/>
            <w:shd w:val="clear" w:color="auto" w:fill="auto"/>
            <w:hideMark/>
          </w:tcPr>
          <w:p w14:paraId="523A7D5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38</w:t>
            </w:r>
          </w:p>
        </w:tc>
        <w:tc>
          <w:tcPr>
            <w:tcW w:w="3000" w:type="dxa"/>
            <w:shd w:val="clear" w:color="auto" w:fill="auto"/>
            <w:hideMark/>
          </w:tcPr>
          <w:p w14:paraId="28E79700"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14 EIS TM3</w:t>
            </w:r>
          </w:p>
        </w:tc>
        <w:tc>
          <w:tcPr>
            <w:tcW w:w="4566" w:type="dxa"/>
            <w:shd w:val="clear" w:color="auto" w:fill="auto"/>
            <w:hideMark/>
          </w:tcPr>
          <w:p w14:paraId="5798A26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Mag er geen EPG info etc. uit de stream worden gehaald ? Cascadering is niet toegestaan zonder voorafgaande toestemming. </w:t>
            </w:r>
          </w:p>
        </w:tc>
        <w:tc>
          <w:tcPr>
            <w:tcW w:w="2977" w:type="dxa"/>
            <w:shd w:val="clear" w:color="auto" w:fill="auto"/>
            <w:hideMark/>
          </w:tcPr>
          <w:p w14:paraId="159B4D9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01FC8395" w14:textId="58CF3632"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Cascadering in de vraagspecificatie gaat over audio. (Audio dient transparant doorgegeven te worden.) NLPO sluit cascadering na het aanleverpunt door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uit. Het aanleveren van metadata als bijvoorbeeld maar niet uitsluitend EPG informatie, kan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zelf aan de hand van een aantal keuzes voorleggen. Leverancier kan zelf aangeven hoe bijvoorbeeld EPG informatie kan worden binnen gehaald (binnen gebruikelijke marktstandaarden).</w:t>
            </w:r>
          </w:p>
        </w:tc>
      </w:tr>
      <w:tr w:rsidR="009815C6" w:rsidRPr="009815C6" w14:paraId="623712FC" w14:textId="77777777" w:rsidTr="009815C6">
        <w:trPr>
          <w:trHeight w:val="1440"/>
        </w:trPr>
        <w:tc>
          <w:tcPr>
            <w:tcW w:w="940" w:type="dxa"/>
            <w:shd w:val="clear" w:color="auto" w:fill="auto"/>
            <w:hideMark/>
          </w:tcPr>
          <w:p w14:paraId="64937E7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39</w:t>
            </w:r>
          </w:p>
        </w:tc>
        <w:tc>
          <w:tcPr>
            <w:tcW w:w="3000" w:type="dxa"/>
            <w:shd w:val="clear" w:color="auto" w:fill="auto"/>
            <w:hideMark/>
          </w:tcPr>
          <w:p w14:paraId="0967101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14 EIS TH3</w:t>
            </w:r>
          </w:p>
        </w:tc>
        <w:tc>
          <w:tcPr>
            <w:tcW w:w="4566" w:type="dxa"/>
            <w:shd w:val="clear" w:color="auto" w:fill="auto"/>
            <w:hideMark/>
          </w:tcPr>
          <w:p w14:paraId="51E0338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Wat wordt hiermee bedoeld? De eigenschappen van bijvoorbeeld een 5g router zijn anders een glasrouter. </w:t>
            </w:r>
          </w:p>
        </w:tc>
        <w:tc>
          <w:tcPr>
            <w:tcW w:w="2977" w:type="dxa"/>
            <w:shd w:val="clear" w:color="auto" w:fill="auto"/>
            <w:hideMark/>
          </w:tcPr>
          <w:p w14:paraId="21262D6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0A8439F" w14:textId="017050E5"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NLPO bedoeld met deze eis dat bij het uitvoeren van </w:t>
            </w:r>
            <w:proofErr w:type="spellStart"/>
            <w:r w:rsidRPr="009815C6">
              <w:rPr>
                <w:rFonts w:ascii="Calibri" w:eastAsia="Times New Roman" w:hAnsi="Calibri" w:cs="Calibri"/>
                <w:color w:val="000000"/>
                <w:lang w:eastAsia="nl-NL"/>
              </w:rPr>
              <w:t>redundancy</w:t>
            </w:r>
            <w:proofErr w:type="spellEnd"/>
            <w:r w:rsidRPr="009815C6">
              <w:rPr>
                <w:rFonts w:ascii="Calibri" w:eastAsia="Times New Roman" w:hAnsi="Calibri" w:cs="Calibri"/>
                <w:color w:val="000000"/>
                <w:lang w:eastAsia="nl-NL"/>
              </w:rPr>
              <w:t xml:space="preserve"> de audio en data kwaliteit tussen de hoofdapparatuur en de </w:t>
            </w:r>
            <w:proofErr w:type="spellStart"/>
            <w:r w:rsidRPr="009815C6">
              <w:rPr>
                <w:rFonts w:ascii="Calibri" w:eastAsia="Times New Roman" w:hAnsi="Calibri" w:cs="Calibri"/>
                <w:color w:val="000000"/>
                <w:lang w:eastAsia="nl-NL"/>
              </w:rPr>
              <w:t>backup</w:t>
            </w:r>
            <w:proofErr w:type="spellEnd"/>
            <w:r w:rsidRPr="009815C6">
              <w:rPr>
                <w:rFonts w:ascii="Calibri" w:eastAsia="Times New Roman" w:hAnsi="Calibri" w:cs="Calibri"/>
                <w:color w:val="000000"/>
                <w:lang w:eastAsia="nl-NL"/>
              </w:rPr>
              <w:t xml:space="preserve"> apparatuur hetzelfde moet zijn. De uitvoering hiervan is vrij te bepalen door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w:t>
            </w:r>
          </w:p>
        </w:tc>
      </w:tr>
      <w:tr w:rsidR="009815C6" w:rsidRPr="009815C6" w14:paraId="65CE0924" w14:textId="77777777" w:rsidTr="009815C6">
        <w:trPr>
          <w:trHeight w:val="3744"/>
        </w:trPr>
        <w:tc>
          <w:tcPr>
            <w:tcW w:w="940" w:type="dxa"/>
            <w:shd w:val="clear" w:color="auto" w:fill="auto"/>
            <w:hideMark/>
          </w:tcPr>
          <w:p w14:paraId="75E040C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40</w:t>
            </w:r>
          </w:p>
        </w:tc>
        <w:tc>
          <w:tcPr>
            <w:tcW w:w="3000" w:type="dxa"/>
            <w:shd w:val="clear" w:color="auto" w:fill="auto"/>
            <w:hideMark/>
          </w:tcPr>
          <w:p w14:paraId="372246C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14 EIS TH4</w:t>
            </w:r>
          </w:p>
        </w:tc>
        <w:tc>
          <w:tcPr>
            <w:tcW w:w="4566" w:type="dxa"/>
            <w:shd w:val="clear" w:color="auto" w:fill="auto"/>
            <w:hideMark/>
          </w:tcPr>
          <w:p w14:paraId="3902C99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Naar welke onderdelen van de  SLA wordt hier verwezen? Is wel wenselijk om het dubbel uit te voeren </w:t>
            </w:r>
            <w:proofErr w:type="spellStart"/>
            <w:r w:rsidRPr="009815C6">
              <w:rPr>
                <w:rFonts w:ascii="Calibri" w:eastAsia="Times New Roman" w:hAnsi="Calibri" w:cs="Calibri"/>
                <w:color w:val="000000"/>
                <w:lang w:eastAsia="nl-NL"/>
              </w:rPr>
              <w:t>ivm</w:t>
            </w:r>
            <w:proofErr w:type="spellEnd"/>
            <w:r w:rsidRPr="009815C6">
              <w:rPr>
                <w:rFonts w:ascii="Calibri" w:eastAsia="Times New Roman" w:hAnsi="Calibri" w:cs="Calibri"/>
                <w:color w:val="000000"/>
                <w:lang w:eastAsia="nl-NL"/>
              </w:rPr>
              <w:t xml:space="preserve"> bijkomende kosten? Houdt dit ook redundantie met betrekking tot zenders, </w:t>
            </w:r>
            <w:proofErr w:type="spellStart"/>
            <w:r w:rsidRPr="009815C6">
              <w:rPr>
                <w:rFonts w:ascii="Calibri" w:eastAsia="Times New Roman" w:hAnsi="Calibri" w:cs="Calibri"/>
                <w:color w:val="000000"/>
                <w:lang w:eastAsia="nl-NL"/>
              </w:rPr>
              <w:t>feeders</w:t>
            </w:r>
            <w:proofErr w:type="spellEnd"/>
            <w:r w:rsidRPr="009815C6">
              <w:rPr>
                <w:rFonts w:ascii="Calibri" w:eastAsia="Times New Roman" w:hAnsi="Calibri" w:cs="Calibri"/>
                <w:color w:val="000000"/>
                <w:lang w:eastAsia="nl-NL"/>
              </w:rPr>
              <w:t xml:space="preserve"> en antennesystemen in?</w:t>
            </w:r>
          </w:p>
        </w:tc>
        <w:tc>
          <w:tcPr>
            <w:tcW w:w="2977" w:type="dxa"/>
            <w:shd w:val="clear" w:color="auto" w:fill="auto"/>
            <w:hideMark/>
          </w:tcPr>
          <w:p w14:paraId="3AFD6D2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2750E781" w14:textId="7A2FB14A"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Zoals aangegeven, staat er: indien nodig. Het is aan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om zelf te bepalen of hij redundante apparatuur moet installeren om de aangegeven SLA eisen te halen of dat hij bij uitval binnen aanrijdtijden tot herstel kan overgaan. Indien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in staat is om de SLA eisen (</w:t>
            </w:r>
            <w:proofErr w:type="spellStart"/>
            <w:r w:rsidRPr="009815C6">
              <w:rPr>
                <w:rFonts w:ascii="Calibri" w:eastAsia="Times New Roman" w:hAnsi="Calibri" w:cs="Calibri"/>
                <w:color w:val="000000"/>
                <w:lang w:eastAsia="nl-NL"/>
              </w:rPr>
              <w:t>mean</w:t>
            </w:r>
            <w:proofErr w:type="spellEnd"/>
            <w:r w:rsidRPr="009815C6">
              <w:rPr>
                <w:rFonts w:ascii="Calibri" w:eastAsia="Times New Roman" w:hAnsi="Calibri" w:cs="Calibri"/>
                <w:color w:val="000000"/>
                <w:lang w:eastAsia="nl-NL"/>
              </w:rPr>
              <w:t xml:space="preserve"> time </w:t>
            </w:r>
            <w:proofErr w:type="spellStart"/>
            <w:r w:rsidRPr="009815C6">
              <w:rPr>
                <w:rFonts w:ascii="Calibri" w:eastAsia="Times New Roman" w:hAnsi="Calibri" w:cs="Calibri"/>
                <w:color w:val="000000"/>
                <w:lang w:eastAsia="nl-NL"/>
              </w:rPr>
              <w:t>to</w:t>
            </w:r>
            <w:proofErr w:type="spellEnd"/>
            <w:r w:rsidRPr="009815C6">
              <w:rPr>
                <w:rFonts w:ascii="Calibri" w:eastAsia="Times New Roman" w:hAnsi="Calibri" w:cs="Calibri"/>
                <w:color w:val="000000"/>
                <w:lang w:eastAsia="nl-NL"/>
              </w:rPr>
              <w:t xml:space="preserve"> </w:t>
            </w:r>
            <w:proofErr w:type="spellStart"/>
            <w:r w:rsidRPr="009815C6">
              <w:rPr>
                <w:rFonts w:ascii="Calibri" w:eastAsia="Times New Roman" w:hAnsi="Calibri" w:cs="Calibri"/>
                <w:color w:val="000000"/>
                <w:lang w:eastAsia="nl-NL"/>
              </w:rPr>
              <w:t>repair</w:t>
            </w:r>
            <w:proofErr w:type="spellEnd"/>
            <w:r w:rsidRPr="009815C6">
              <w:rPr>
                <w:rFonts w:ascii="Calibri" w:eastAsia="Times New Roman" w:hAnsi="Calibri" w:cs="Calibri"/>
                <w:color w:val="000000"/>
                <w:lang w:eastAsia="nl-NL"/>
              </w:rPr>
              <w:t xml:space="preserve">) te halen zonder </w:t>
            </w:r>
            <w:proofErr w:type="spellStart"/>
            <w:r w:rsidRPr="009815C6">
              <w:rPr>
                <w:rFonts w:ascii="Calibri" w:eastAsia="Times New Roman" w:hAnsi="Calibri" w:cs="Calibri"/>
                <w:color w:val="000000"/>
                <w:lang w:eastAsia="nl-NL"/>
              </w:rPr>
              <w:t>redunantie</w:t>
            </w:r>
            <w:proofErr w:type="spellEnd"/>
            <w:r w:rsidRPr="009815C6">
              <w:rPr>
                <w:rFonts w:ascii="Calibri" w:eastAsia="Times New Roman" w:hAnsi="Calibri" w:cs="Calibri"/>
                <w:color w:val="000000"/>
                <w:lang w:eastAsia="nl-NL"/>
              </w:rPr>
              <w:t xml:space="preserve"> in te bouwen dan is dat dus ook prima. Dat is niet aan opdrachtgever. In eis TH4 worden alleen bepaalde eisen gesteld aan de redundante apparatuur INDIEN deze wordt toegepast. Maar het gebruik van redundante apparatuur is dus op zichzelf geen eis.</w:t>
            </w:r>
          </w:p>
        </w:tc>
      </w:tr>
      <w:tr w:rsidR="009815C6" w:rsidRPr="009815C6" w14:paraId="09B65295" w14:textId="77777777" w:rsidTr="007332DD">
        <w:trPr>
          <w:trHeight w:val="883"/>
        </w:trPr>
        <w:tc>
          <w:tcPr>
            <w:tcW w:w="940" w:type="dxa"/>
            <w:shd w:val="clear" w:color="auto" w:fill="auto"/>
            <w:hideMark/>
          </w:tcPr>
          <w:p w14:paraId="2C419CA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41</w:t>
            </w:r>
          </w:p>
        </w:tc>
        <w:tc>
          <w:tcPr>
            <w:tcW w:w="3000" w:type="dxa"/>
            <w:shd w:val="clear" w:color="auto" w:fill="auto"/>
            <w:hideMark/>
          </w:tcPr>
          <w:p w14:paraId="6C23355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15 EIS TKB1</w:t>
            </w:r>
          </w:p>
        </w:tc>
        <w:tc>
          <w:tcPr>
            <w:tcW w:w="4566" w:type="dxa"/>
            <w:shd w:val="clear" w:color="auto" w:fill="auto"/>
            <w:hideMark/>
          </w:tcPr>
          <w:p w14:paraId="1DC31F4F" w14:textId="1B37F90E"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Welke synchronisatie eisen  worden gesteld aan een SFN voor DAB+ in dat betreffende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w:t>
            </w:r>
          </w:p>
        </w:tc>
        <w:tc>
          <w:tcPr>
            <w:tcW w:w="2977" w:type="dxa"/>
            <w:shd w:val="clear" w:color="auto" w:fill="auto"/>
            <w:hideMark/>
          </w:tcPr>
          <w:p w14:paraId="6194CA2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241D0E32" w14:textId="4EA021D8"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Inhoudelijk eisen tot specifiek uitvoer stelt NLPO niet. NLPO stelt dat meerdere zenders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een synchronisatie moeten krijgen, via GPS of PTP. Met als doel dat de gelijktijdigheid van uitgezonden signalen in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elkaar niet verstoren maar juist versterken. Beide systemen (GPS of PTP) kennen hun eigen opzet en prijsstelling </w:t>
            </w:r>
            <w:r w:rsidRPr="009815C6">
              <w:rPr>
                <w:rFonts w:ascii="Calibri" w:eastAsia="Times New Roman" w:hAnsi="Calibri" w:cs="Calibri"/>
                <w:color w:val="000000"/>
                <w:lang w:eastAsia="nl-NL"/>
              </w:rPr>
              <w:lastRenderedPageBreak/>
              <w:t xml:space="preserve">hierbij. Het is aan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om hier een passende keuze te maken in de aanbieding.</w:t>
            </w:r>
          </w:p>
        </w:tc>
      </w:tr>
      <w:tr w:rsidR="009815C6" w:rsidRPr="009815C6" w14:paraId="52DEDDD0" w14:textId="77777777" w:rsidTr="009815C6">
        <w:trPr>
          <w:trHeight w:val="2592"/>
        </w:trPr>
        <w:tc>
          <w:tcPr>
            <w:tcW w:w="940" w:type="dxa"/>
            <w:shd w:val="clear" w:color="auto" w:fill="auto"/>
            <w:hideMark/>
          </w:tcPr>
          <w:p w14:paraId="328ADD5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42</w:t>
            </w:r>
          </w:p>
        </w:tc>
        <w:tc>
          <w:tcPr>
            <w:tcW w:w="3000" w:type="dxa"/>
            <w:shd w:val="clear" w:color="auto" w:fill="auto"/>
            <w:hideMark/>
          </w:tcPr>
          <w:p w14:paraId="145B44A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15 EIS TKB3</w:t>
            </w:r>
          </w:p>
        </w:tc>
        <w:tc>
          <w:tcPr>
            <w:tcW w:w="4566" w:type="dxa"/>
            <w:shd w:val="clear" w:color="auto" w:fill="auto"/>
            <w:hideMark/>
          </w:tcPr>
          <w:p w14:paraId="0C667F6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Gaat het om audio synchronisatie of SFN synchronisatie?</w:t>
            </w:r>
            <w:r w:rsidRPr="009815C6">
              <w:rPr>
                <w:rFonts w:ascii="Calibri" w:eastAsia="Times New Roman" w:hAnsi="Calibri" w:cs="Calibri"/>
                <w:color w:val="000000"/>
                <w:lang w:eastAsia="nl-NL"/>
              </w:rPr>
              <w:br/>
              <w:t>Hoe wordt er omgegaan in een situatie waarin geen van de twee netwerkoperators het netwerk beheert, maar het een lokaal initiatief is?</w:t>
            </w:r>
            <w:r w:rsidRPr="009815C6">
              <w:rPr>
                <w:rFonts w:ascii="Calibri" w:eastAsia="Times New Roman" w:hAnsi="Calibri" w:cs="Calibri"/>
                <w:color w:val="000000"/>
                <w:lang w:eastAsia="nl-NL"/>
              </w:rPr>
              <w:br/>
              <w:t xml:space="preserve">Hoe wordt er omgegaan met het vraagstuk wanneer de gebruikte apparatuur van een lokaal initiatief niet kan synchroniseren in zowel master als </w:t>
            </w:r>
            <w:proofErr w:type="spellStart"/>
            <w:r w:rsidRPr="009815C6">
              <w:rPr>
                <w:rFonts w:ascii="Calibri" w:eastAsia="Times New Roman" w:hAnsi="Calibri" w:cs="Calibri"/>
                <w:color w:val="000000"/>
                <w:lang w:eastAsia="nl-NL"/>
              </w:rPr>
              <w:t>slave</w:t>
            </w:r>
            <w:proofErr w:type="spellEnd"/>
            <w:r w:rsidRPr="009815C6">
              <w:rPr>
                <w:rFonts w:ascii="Calibri" w:eastAsia="Times New Roman" w:hAnsi="Calibri" w:cs="Calibri"/>
                <w:color w:val="000000"/>
                <w:lang w:eastAsia="nl-NL"/>
              </w:rPr>
              <w:t>?</w:t>
            </w:r>
          </w:p>
        </w:tc>
        <w:tc>
          <w:tcPr>
            <w:tcW w:w="2977" w:type="dxa"/>
            <w:shd w:val="clear" w:color="auto" w:fill="auto"/>
            <w:hideMark/>
          </w:tcPr>
          <w:p w14:paraId="53329B7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782E02C" w14:textId="431DF2AF"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Dit gaat over Audio synchronisatie.</w:t>
            </w:r>
            <w:r>
              <w:rPr>
                <w:rFonts w:ascii="Calibri" w:eastAsia="Times New Roman" w:hAnsi="Calibri" w:cs="Calibri"/>
                <w:color w:val="000000"/>
                <w:lang w:eastAsia="nl-NL"/>
              </w:rPr>
              <w:t xml:space="preserve"> </w:t>
            </w:r>
            <w:r w:rsidRPr="009815C6">
              <w:rPr>
                <w:rFonts w:ascii="Calibri" w:eastAsia="Times New Roman" w:hAnsi="Calibri" w:cs="Calibri"/>
                <w:color w:val="000000"/>
                <w:lang w:eastAsia="nl-NL"/>
              </w:rPr>
              <w:t xml:space="preserve">Netwerkoperator zal uiteraard niet verantwoordelijk worden gehouden voor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waar deze zelf niet de DAB+ diensten verzorgt. Het gaat hier om aansluitende </w:t>
            </w:r>
            <w:proofErr w:type="spellStart"/>
            <w:r>
              <w:rPr>
                <w:rFonts w:ascii="Calibri" w:eastAsia="Times New Roman" w:hAnsi="Calibri" w:cs="Calibri"/>
                <w:color w:val="000000"/>
                <w:lang w:eastAsia="nl-NL"/>
              </w:rPr>
              <w:t>Allotment</w:t>
            </w:r>
            <w:r w:rsidRPr="009815C6">
              <w:rPr>
                <w:rFonts w:ascii="Calibri" w:eastAsia="Times New Roman" w:hAnsi="Calibri" w:cs="Calibri"/>
                <w:color w:val="000000"/>
                <w:lang w:eastAsia="nl-NL"/>
              </w:rPr>
              <w:t>s</w:t>
            </w:r>
            <w:proofErr w:type="spellEnd"/>
            <w:r w:rsidRPr="009815C6">
              <w:rPr>
                <w:rFonts w:ascii="Calibri" w:eastAsia="Times New Roman" w:hAnsi="Calibri" w:cs="Calibri"/>
                <w:color w:val="000000"/>
                <w:lang w:eastAsia="nl-NL"/>
              </w:rPr>
              <w:t xml:space="preserve"> waar omroepen in terugkomen. </w:t>
            </w:r>
            <w:r w:rsidRPr="009815C6">
              <w:rPr>
                <w:rFonts w:ascii="Calibri" w:eastAsia="Times New Roman" w:hAnsi="Calibri" w:cs="Calibri"/>
                <w:color w:val="000000"/>
                <w:lang w:eastAsia="nl-NL"/>
              </w:rPr>
              <w:br/>
              <w:t xml:space="preserve">NLPO zal in die geval een "master" aanwijzen (de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van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die de synchronisatie bepaald.</w:t>
            </w:r>
          </w:p>
        </w:tc>
      </w:tr>
      <w:tr w:rsidR="009815C6" w:rsidRPr="009815C6" w14:paraId="61AAEE82" w14:textId="77777777" w:rsidTr="009815C6">
        <w:trPr>
          <w:trHeight w:val="1440"/>
        </w:trPr>
        <w:tc>
          <w:tcPr>
            <w:tcW w:w="940" w:type="dxa"/>
            <w:shd w:val="clear" w:color="auto" w:fill="auto"/>
            <w:hideMark/>
          </w:tcPr>
          <w:p w14:paraId="4AF048A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43</w:t>
            </w:r>
          </w:p>
        </w:tc>
        <w:tc>
          <w:tcPr>
            <w:tcW w:w="3000" w:type="dxa"/>
            <w:shd w:val="clear" w:color="auto" w:fill="auto"/>
            <w:hideMark/>
          </w:tcPr>
          <w:p w14:paraId="7F1F410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16 EIS TKB6</w:t>
            </w:r>
          </w:p>
        </w:tc>
        <w:tc>
          <w:tcPr>
            <w:tcW w:w="4566" w:type="dxa"/>
            <w:shd w:val="clear" w:color="auto" w:fill="auto"/>
            <w:hideMark/>
          </w:tcPr>
          <w:p w14:paraId="6D0F4D2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Hier wordt aangegeven dat er afgeweken mag worden van protectie level en </w:t>
            </w:r>
            <w:proofErr w:type="spellStart"/>
            <w:r w:rsidRPr="009815C6">
              <w:rPr>
                <w:rFonts w:ascii="Calibri" w:eastAsia="Times New Roman" w:hAnsi="Calibri" w:cs="Calibri"/>
                <w:color w:val="000000"/>
                <w:lang w:eastAsia="nl-NL"/>
              </w:rPr>
              <w:t>bitrate</w:t>
            </w:r>
            <w:proofErr w:type="spellEnd"/>
            <w:r w:rsidRPr="009815C6">
              <w:rPr>
                <w:rFonts w:ascii="Calibri" w:eastAsia="Times New Roman" w:hAnsi="Calibri" w:cs="Calibri"/>
                <w:color w:val="000000"/>
                <w:lang w:eastAsia="nl-NL"/>
              </w:rPr>
              <w:t>, maar mag dit volgens de RDI vergunning ook?</w:t>
            </w:r>
          </w:p>
        </w:tc>
        <w:tc>
          <w:tcPr>
            <w:tcW w:w="2977" w:type="dxa"/>
            <w:shd w:val="clear" w:color="auto" w:fill="auto"/>
            <w:hideMark/>
          </w:tcPr>
          <w:p w14:paraId="7F101BF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280EFA7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Dit is door RDI aan NLPO bevestigd. De vereiste dekking is alleen gerelateerd aan minimale veldsterktes. In de vergunning is  niets opgenomen over de FEC code rade. M.a.w. dit is aan de vergunninghouders. </w:t>
            </w:r>
          </w:p>
        </w:tc>
      </w:tr>
      <w:tr w:rsidR="009815C6" w:rsidRPr="009815C6" w14:paraId="0D8B6517" w14:textId="77777777" w:rsidTr="009815C6">
        <w:trPr>
          <w:trHeight w:val="576"/>
        </w:trPr>
        <w:tc>
          <w:tcPr>
            <w:tcW w:w="940" w:type="dxa"/>
            <w:shd w:val="clear" w:color="auto" w:fill="auto"/>
            <w:hideMark/>
          </w:tcPr>
          <w:p w14:paraId="758CDE2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44</w:t>
            </w:r>
          </w:p>
        </w:tc>
        <w:tc>
          <w:tcPr>
            <w:tcW w:w="3000" w:type="dxa"/>
            <w:shd w:val="clear" w:color="auto" w:fill="auto"/>
            <w:hideMark/>
          </w:tcPr>
          <w:p w14:paraId="38341BD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17 EIS TZ1</w:t>
            </w:r>
          </w:p>
        </w:tc>
        <w:tc>
          <w:tcPr>
            <w:tcW w:w="4566" w:type="dxa"/>
            <w:shd w:val="clear" w:color="auto" w:fill="auto"/>
            <w:hideMark/>
          </w:tcPr>
          <w:p w14:paraId="421E046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Wordt hier ook rekening gehouden dat de maximale veldsterkte voor bevolking niet wordt overschreden? (EMC probleem)</w:t>
            </w:r>
          </w:p>
        </w:tc>
        <w:tc>
          <w:tcPr>
            <w:tcW w:w="2977" w:type="dxa"/>
            <w:shd w:val="clear" w:color="auto" w:fill="auto"/>
            <w:hideMark/>
          </w:tcPr>
          <w:p w14:paraId="149C3E8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4916DF90"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NLPO verwijst in grondslag naar wet en regelgeving die dit al afdekt.</w:t>
            </w:r>
          </w:p>
        </w:tc>
      </w:tr>
      <w:tr w:rsidR="009815C6" w:rsidRPr="009815C6" w14:paraId="3F96EC43" w14:textId="77777777" w:rsidTr="009815C6">
        <w:trPr>
          <w:trHeight w:val="576"/>
        </w:trPr>
        <w:tc>
          <w:tcPr>
            <w:tcW w:w="940" w:type="dxa"/>
            <w:shd w:val="clear" w:color="auto" w:fill="auto"/>
            <w:hideMark/>
          </w:tcPr>
          <w:p w14:paraId="37B1EBA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45</w:t>
            </w:r>
          </w:p>
        </w:tc>
        <w:tc>
          <w:tcPr>
            <w:tcW w:w="3000" w:type="dxa"/>
            <w:shd w:val="clear" w:color="auto" w:fill="auto"/>
            <w:hideMark/>
          </w:tcPr>
          <w:p w14:paraId="3FAA971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17 EIS TZ2</w:t>
            </w:r>
          </w:p>
        </w:tc>
        <w:tc>
          <w:tcPr>
            <w:tcW w:w="4566" w:type="dxa"/>
            <w:shd w:val="clear" w:color="auto" w:fill="auto"/>
            <w:hideMark/>
          </w:tcPr>
          <w:p w14:paraId="0E7378B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Gaat het hier alleen om DAB+ </w:t>
            </w:r>
            <w:proofErr w:type="spellStart"/>
            <w:r w:rsidRPr="009815C6">
              <w:rPr>
                <w:rFonts w:ascii="Calibri" w:eastAsia="Times New Roman" w:hAnsi="Calibri" w:cs="Calibri"/>
                <w:color w:val="000000"/>
                <w:lang w:eastAsia="nl-NL"/>
              </w:rPr>
              <w:t>opstyelpunten</w:t>
            </w:r>
            <w:proofErr w:type="spellEnd"/>
            <w:r w:rsidRPr="009815C6">
              <w:rPr>
                <w:rFonts w:ascii="Calibri" w:eastAsia="Times New Roman" w:hAnsi="Calibri" w:cs="Calibri"/>
                <w:color w:val="000000"/>
                <w:lang w:eastAsia="nl-NL"/>
              </w:rPr>
              <w:t xml:space="preserve"> of ook om de FM opstelpunten?</w:t>
            </w:r>
          </w:p>
        </w:tc>
        <w:tc>
          <w:tcPr>
            <w:tcW w:w="2977" w:type="dxa"/>
            <w:shd w:val="clear" w:color="auto" w:fill="auto"/>
            <w:hideMark/>
          </w:tcPr>
          <w:p w14:paraId="7EEAEE20"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15BE462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Dat mag beide betreffen. De Netwerkoperator bepaalt zelf welke opstelpunten hij wil gebruiken.</w:t>
            </w:r>
          </w:p>
        </w:tc>
      </w:tr>
      <w:tr w:rsidR="009815C6" w:rsidRPr="009815C6" w14:paraId="3380CD5D" w14:textId="77777777" w:rsidTr="009815C6">
        <w:trPr>
          <w:trHeight w:val="1152"/>
        </w:trPr>
        <w:tc>
          <w:tcPr>
            <w:tcW w:w="940" w:type="dxa"/>
            <w:shd w:val="clear" w:color="auto" w:fill="auto"/>
            <w:hideMark/>
          </w:tcPr>
          <w:p w14:paraId="1BF29DD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46</w:t>
            </w:r>
          </w:p>
        </w:tc>
        <w:tc>
          <w:tcPr>
            <w:tcW w:w="3000" w:type="dxa"/>
            <w:shd w:val="clear" w:color="auto" w:fill="auto"/>
            <w:hideMark/>
          </w:tcPr>
          <w:p w14:paraId="459EBA6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17 EIS NOC 1</w:t>
            </w:r>
          </w:p>
        </w:tc>
        <w:tc>
          <w:tcPr>
            <w:tcW w:w="4566" w:type="dxa"/>
            <w:shd w:val="clear" w:color="auto" w:fill="auto"/>
            <w:hideMark/>
          </w:tcPr>
          <w:p w14:paraId="7561746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Zoals in de vraagspecificatie aangegeven wordt dient het NOC 247 bemensing te hebben. Er is </w:t>
            </w:r>
            <w:proofErr w:type="spellStart"/>
            <w:r w:rsidRPr="009815C6">
              <w:rPr>
                <w:rFonts w:ascii="Calibri" w:eastAsia="Times New Roman" w:hAnsi="Calibri" w:cs="Calibri"/>
                <w:color w:val="000000"/>
                <w:lang w:eastAsia="nl-NL"/>
              </w:rPr>
              <w:t>onderschied</w:t>
            </w:r>
            <w:proofErr w:type="spellEnd"/>
            <w:r w:rsidRPr="009815C6">
              <w:rPr>
                <w:rFonts w:ascii="Calibri" w:eastAsia="Times New Roman" w:hAnsi="Calibri" w:cs="Calibri"/>
                <w:color w:val="000000"/>
                <w:lang w:eastAsia="nl-NL"/>
              </w:rPr>
              <w:t xml:space="preserve"> tussen NOC en Monitoring (NMC). Een Network </w:t>
            </w:r>
            <w:proofErr w:type="spellStart"/>
            <w:r w:rsidRPr="009815C6">
              <w:rPr>
                <w:rFonts w:ascii="Calibri" w:eastAsia="Times New Roman" w:hAnsi="Calibri" w:cs="Calibri"/>
                <w:color w:val="000000"/>
                <w:lang w:eastAsia="nl-NL"/>
              </w:rPr>
              <w:t>Monitorings</w:t>
            </w:r>
            <w:proofErr w:type="spellEnd"/>
            <w:r w:rsidRPr="009815C6">
              <w:rPr>
                <w:rFonts w:ascii="Calibri" w:eastAsia="Times New Roman" w:hAnsi="Calibri" w:cs="Calibri"/>
                <w:color w:val="000000"/>
                <w:lang w:eastAsia="nl-NL"/>
              </w:rPr>
              <w:t xml:space="preserve"> Centrum hoeft niet perse ter plekke te gebeuren maar geeft wel een snelle responstijd. Daarnaast is de SLA en responstijd vrij hoog voor een streekomroep. Concreet is de vraag: wordt hier bedoeld dat het NOC 24/7 wordt bewaakt of dat het NOC 24/7 wordt bemand?</w:t>
            </w:r>
          </w:p>
        </w:tc>
        <w:tc>
          <w:tcPr>
            <w:tcW w:w="2977" w:type="dxa"/>
            <w:shd w:val="clear" w:color="auto" w:fill="auto"/>
            <w:hideMark/>
          </w:tcPr>
          <w:p w14:paraId="36BA963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Zie ook vraag 2.</w:t>
            </w:r>
          </w:p>
        </w:tc>
        <w:tc>
          <w:tcPr>
            <w:tcW w:w="3969" w:type="dxa"/>
            <w:shd w:val="clear" w:color="auto" w:fill="auto"/>
            <w:hideMark/>
          </w:tcPr>
          <w:p w14:paraId="2F2181E4" w14:textId="3A01BFC2"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Deze EIS schrijft over monitoring en bewaking maar niet over fysieke bemanning dan wel bemensing op 1 locatie. </w:t>
            </w:r>
          </w:p>
        </w:tc>
      </w:tr>
      <w:tr w:rsidR="009815C6" w:rsidRPr="009815C6" w14:paraId="283C387F" w14:textId="77777777" w:rsidTr="009815C6">
        <w:trPr>
          <w:trHeight w:val="864"/>
        </w:trPr>
        <w:tc>
          <w:tcPr>
            <w:tcW w:w="940" w:type="dxa"/>
            <w:shd w:val="clear" w:color="auto" w:fill="auto"/>
            <w:hideMark/>
          </w:tcPr>
          <w:p w14:paraId="6F5331D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47</w:t>
            </w:r>
          </w:p>
        </w:tc>
        <w:tc>
          <w:tcPr>
            <w:tcW w:w="3000" w:type="dxa"/>
            <w:shd w:val="clear" w:color="auto" w:fill="auto"/>
            <w:hideMark/>
          </w:tcPr>
          <w:p w14:paraId="65ABE2C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18 EIS NOC 3</w:t>
            </w:r>
          </w:p>
        </w:tc>
        <w:tc>
          <w:tcPr>
            <w:tcW w:w="4566" w:type="dxa"/>
            <w:shd w:val="clear" w:color="auto" w:fill="auto"/>
            <w:hideMark/>
          </w:tcPr>
          <w:p w14:paraId="0E27552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Moet hier ook worden voorzien in een uitwijk locatie? </w:t>
            </w:r>
          </w:p>
        </w:tc>
        <w:tc>
          <w:tcPr>
            <w:tcW w:w="2977" w:type="dxa"/>
            <w:shd w:val="clear" w:color="auto" w:fill="auto"/>
            <w:hideMark/>
          </w:tcPr>
          <w:p w14:paraId="15FA1B0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36EC7473" w14:textId="2E70AD0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 EIS gaat over ten aller tijden beschikbaar zijn van de NOC dienst . Hoe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dat denkt te realiseren is aan de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zelf. </w:t>
            </w:r>
          </w:p>
        </w:tc>
      </w:tr>
      <w:tr w:rsidR="009815C6" w:rsidRPr="009815C6" w14:paraId="2B8BAD88" w14:textId="77777777" w:rsidTr="007332DD">
        <w:trPr>
          <w:trHeight w:val="3150"/>
        </w:trPr>
        <w:tc>
          <w:tcPr>
            <w:tcW w:w="940" w:type="dxa"/>
            <w:shd w:val="clear" w:color="auto" w:fill="auto"/>
            <w:hideMark/>
          </w:tcPr>
          <w:p w14:paraId="2950160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48</w:t>
            </w:r>
          </w:p>
        </w:tc>
        <w:tc>
          <w:tcPr>
            <w:tcW w:w="3000" w:type="dxa"/>
            <w:shd w:val="clear" w:color="auto" w:fill="auto"/>
            <w:hideMark/>
          </w:tcPr>
          <w:p w14:paraId="00693B9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18 EIS NOC 6</w:t>
            </w:r>
          </w:p>
        </w:tc>
        <w:tc>
          <w:tcPr>
            <w:tcW w:w="4566" w:type="dxa"/>
            <w:shd w:val="clear" w:color="auto" w:fill="auto"/>
            <w:hideMark/>
          </w:tcPr>
          <w:p w14:paraId="601F18A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Wie bepaalt de grenswaarde voor specifieke alarmen?</w:t>
            </w:r>
          </w:p>
        </w:tc>
        <w:tc>
          <w:tcPr>
            <w:tcW w:w="2977" w:type="dxa"/>
            <w:shd w:val="clear" w:color="auto" w:fill="auto"/>
            <w:hideMark/>
          </w:tcPr>
          <w:p w14:paraId="24014C2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Is het niet beter om onderscheid te maken tussen het type storing (lijnaanvoer, stilte, noodaudio </w:t>
            </w:r>
            <w:proofErr w:type="spellStart"/>
            <w:r w:rsidRPr="009815C6">
              <w:rPr>
                <w:rFonts w:ascii="Calibri" w:eastAsia="Times New Roman" w:hAnsi="Calibri" w:cs="Calibri"/>
                <w:color w:val="000000"/>
                <w:lang w:eastAsia="nl-NL"/>
              </w:rPr>
              <w:t>etc</w:t>
            </w:r>
            <w:proofErr w:type="spellEnd"/>
            <w:r w:rsidRPr="009815C6">
              <w:rPr>
                <w:rFonts w:ascii="Calibri" w:eastAsia="Times New Roman" w:hAnsi="Calibri" w:cs="Calibri"/>
                <w:color w:val="000000"/>
                <w:lang w:eastAsia="nl-NL"/>
              </w:rPr>
              <w:t>)? Dit geldt ook voor onderhoud aan lijnen e.d.  Een storing aan programma aanvoer is in de regel korter dan zenderproblemen maar vallen onder hetzelfde SLA. Zie ook vraag 2.</w:t>
            </w:r>
          </w:p>
        </w:tc>
        <w:tc>
          <w:tcPr>
            <w:tcW w:w="3969" w:type="dxa"/>
            <w:shd w:val="clear" w:color="auto" w:fill="auto"/>
            <w:hideMark/>
          </w:tcPr>
          <w:p w14:paraId="60D37711" w14:textId="1F60F88B"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Opdrachtgever vraagt aan Netwerkoperator om een SLA uit te werken en aan te bieden, o.b.v. de aangegeven SLA eisen. In de SLA kan Netwerkoperator zelf een voorstel doen voor de grenswaarde, zoals de waarden die als </w:t>
            </w:r>
            <w:proofErr w:type="spellStart"/>
            <w:r w:rsidRPr="009815C6">
              <w:rPr>
                <w:rFonts w:ascii="Calibri" w:eastAsia="Times New Roman" w:hAnsi="Calibri" w:cs="Calibri"/>
                <w:color w:val="000000"/>
                <w:lang w:eastAsia="nl-NL"/>
              </w:rPr>
              <w:t>onbeschikbaar</w:t>
            </w:r>
            <w:proofErr w:type="spellEnd"/>
            <w:r w:rsidRPr="009815C6">
              <w:rPr>
                <w:rFonts w:ascii="Calibri" w:eastAsia="Times New Roman" w:hAnsi="Calibri" w:cs="Calibri"/>
                <w:color w:val="000000"/>
                <w:lang w:eastAsia="nl-NL"/>
              </w:rPr>
              <w:t xml:space="preserve"> worden gedefinieerd worden voorkomen. </w:t>
            </w:r>
          </w:p>
        </w:tc>
      </w:tr>
      <w:tr w:rsidR="009815C6" w:rsidRPr="009815C6" w14:paraId="00E65B6F" w14:textId="77777777" w:rsidTr="009815C6">
        <w:trPr>
          <w:trHeight w:val="864"/>
        </w:trPr>
        <w:tc>
          <w:tcPr>
            <w:tcW w:w="940" w:type="dxa"/>
            <w:shd w:val="clear" w:color="auto" w:fill="auto"/>
            <w:hideMark/>
          </w:tcPr>
          <w:p w14:paraId="288CF28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49</w:t>
            </w:r>
          </w:p>
        </w:tc>
        <w:tc>
          <w:tcPr>
            <w:tcW w:w="3000" w:type="dxa"/>
            <w:shd w:val="clear" w:color="auto" w:fill="auto"/>
            <w:hideMark/>
          </w:tcPr>
          <w:p w14:paraId="424100C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18 EIS NOC 8</w:t>
            </w:r>
          </w:p>
        </w:tc>
        <w:tc>
          <w:tcPr>
            <w:tcW w:w="4566" w:type="dxa"/>
            <w:shd w:val="clear" w:color="auto" w:fill="auto"/>
            <w:hideMark/>
          </w:tcPr>
          <w:p w14:paraId="52C6D28A" w14:textId="3C647BBA"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Geldt voor ieder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een 24/7 meetnet?, dan heeft elk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minimaal 1 meetontvanger nodig.</w:t>
            </w:r>
          </w:p>
        </w:tc>
        <w:tc>
          <w:tcPr>
            <w:tcW w:w="2977" w:type="dxa"/>
            <w:shd w:val="clear" w:color="auto" w:fill="auto"/>
            <w:hideMark/>
          </w:tcPr>
          <w:p w14:paraId="3087DD9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674C9B15" w14:textId="04C93754"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NLPO schrijft geen manier van ether return monitoring voor. Hiervoor zijn meerdere opties te bedenken. Is aan </w:t>
            </w:r>
            <w:r>
              <w:rPr>
                <w:rFonts w:ascii="Calibri" w:eastAsia="Times New Roman" w:hAnsi="Calibri" w:cs="Calibri"/>
                <w:color w:val="000000"/>
                <w:lang w:eastAsia="nl-NL"/>
              </w:rPr>
              <w:t>netwerkoperator</w:t>
            </w:r>
            <w:r w:rsidRPr="009815C6">
              <w:rPr>
                <w:rFonts w:ascii="Calibri" w:eastAsia="Times New Roman" w:hAnsi="Calibri" w:cs="Calibri"/>
                <w:color w:val="000000"/>
                <w:lang w:eastAsia="nl-NL"/>
              </w:rPr>
              <w:t xml:space="preserve"> om dit in te vullen.</w:t>
            </w:r>
          </w:p>
        </w:tc>
      </w:tr>
      <w:tr w:rsidR="009815C6" w:rsidRPr="009815C6" w14:paraId="531BC2A5" w14:textId="77777777" w:rsidTr="009815C6">
        <w:trPr>
          <w:trHeight w:val="864"/>
        </w:trPr>
        <w:tc>
          <w:tcPr>
            <w:tcW w:w="940" w:type="dxa"/>
            <w:shd w:val="clear" w:color="auto" w:fill="auto"/>
            <w:hideMark/>
          </w:tcPr>
          <w:p w14:paraId="204E6CE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50</w:t>
            </w:r>
          </w:p>
        </w:tc>
        <w:tc>
          <w:tcPr>
            <w:tcW w:w="3000" w:type="dxa"/>
            <w:shd w:val="clear" w:color="auto" w:fill="auto"/>
            <w:hideMark/>
          </w:tcPr>
          <w:p w14:paraId="7BB4502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18 EIS NOC 9</w:t>
            </w:r>
          </w:p>
        </w:tc>
        <w:tc>
          <w:tcPr>
            <w:tcW w:w="4566" w:type="dxa"/>
            <w:shd w:val="clear" w:color="auto" w:fill="auto"/>
            <w:hideMark/>
          </w:tcPr>
          <w:p w14:paraId="4F74C28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Klopt het dat dan een redundante verbinding  noodzakelijk is? (aangezien er anders geen audio/data transport meer is)</w:t>
            </w:r>
          </w:p>
        </w:tc>
        <w:tc>
          <w:tcPr>
            <w:tcW w:w="2977" w:type="dxa"/>
            <w:shd w:val="clear" w:color="auto" w:fill="auto"/>
            <w:hideMark/>
          </w:tcPr>
          <w:p w14:paraId="4D576DC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2E1ABEF0" w14:textId="1FBB2F4A"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Dit is niet juist. EIS NOC 9 gaat over communicatie en management wat de uitzending niet mag beïnvloeden</w:t>
            </w:r>
          </w:p>
        </w:tc>
      </w:tr>
      <w:tr w:rsidR="009815C6" w:rsidRPr="009815C6" w14:paraId="7023DE1E" w14:textId="77777777" w:rsidTr="009815C6">
        <w:trPr>
          <w:trHeight w:val="576"/>
        </w:trPr>
        <w:tc>
          <w:tcPr>
            <w:tcW w:w="940" w:type="dxa"/>
            <w:shd w:val="clear" w:color="auto" w:fill="auto"/>
            <w:hideMark/>
          </w:tcPr>
          <w:p w14:paraId="6B071C6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51</w:t>
            </w:r>
          </w:p>
        </w:tc>
        <w:tc>
          <w:tcPr>
            <w:tcW w:w="3000" w:type="dxa"/>
            <w:shd w:val="clear" w:color="auto" w:fill="auto"/>
            <w:hideMark/>
          </w:tcPr>
          <w:p w14:paraId="0AD90A1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18 EIS NOC 11</w:t>
            </w:r>
          </w:p>
        </w:tc>
        <w:tc>
          <w:tcPr>
            <w:tcW w:w="4566" w:type="dxa"/>
            <w:shd w:val="clear" w:color="auto" w:fill="auto"/>
            <w:hideMark/>
          </w:tcPr>
          <w:p w14:paraId="4365AFA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Volstaat een melding per mail niet?  (al helemaal tussen genoemd onderhoudstijdvak van 19.00 - 07.00 uur).</w:t>
            </w:r>
          </w:p>
        </w:tc>
        <w:tc>
          <w:tcPr>
            <w:tcW w:w="2977" w:type="dxa"/>
            <w:shd w:val="clear" w:color="auto" w:fill="auto"/>
            <w:hideMark/>
          </w:tcPr>
          <w:p w14:paraId="2F10B7E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2F6C7DD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In het tijdvak 19:00 - 07:00 volstaat een email melding </w:t>
            </w:r>
          </w:p>
        </w:tc>
      </w:tr>
      <w:tr w:rsidR="009815C6" w:rsidRPr="009815C6" w14:paraId="38FB7DF8" w14:textId="77777777" w:rsidTr="009815C6">
        <w:trPr>
          <w:trHeight w:val="2880"/>
        </w:trPr>
        <w:tc>
          <w:tcPr>
            <w:tcW w:w="940" w:type="dxa"/>
            <w:shd w:val="clear" w:color="auto" w:fill="auto"/>
            <w:hideMark/>
          </w:tcPr>
          <w:p w14:paraId="2B0D164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52</w:t>
            </w:r>
          </w:p>
        </w:tc>
        <w:tc>
          <w:tcPr>
            <w:tcW w:w="3000" w:type="dxa"/>
            <w:shd w:val="clear" w:color="auto" w:fill="auto"/>
            <w:hideMark/>
          </w:tcPr>
          <w:p w14:paraId="301C01C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18 EIS NOC 13</w:t>
            </w:r>
          </w:p>
        </w:tc>
        <w:tc>
          <w:tcPr>
            <w:tcW w:w="4566" w:type="dxa"/>
            <w:shd w:val="clear" w:color="auto" w:fill="auto"/>
            <w:hideMark/>
          </w:tcPr>
          <w:p w14:paraId="3D7DD9C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Extremiteiten uitgezonderd (</w:t>
            </w:r>
            <w:proofErr w:type="spellStart"/>
            <w:r w:rsidRPr="009815C6">
              <w:rPr>
                <w:rFonts w:ascii="Calibri" w:eastAsia="Times New Roman" w:hAnsi="Calibri" w:cs="Calibri"/>
                <w:color w:val="000000"/>
                <w:lang w:eastAsia="nl-NL"/>
              </w:rPr>
              <w:t>oa</w:t>
            </w:r>
            <w:proofErr w:type="spellEnd"/>
            <w:r w:rsidRPr="009815C6">
              <w:rPr>
                <w:rFonts w:ascii="Calibri" w:eastAsia="Times New Roman" w:hAnsi="Calibri" w:cs="Calibri"/>
                <w:color w:val="000000"/>
                <w:lang w:eastAsia="nl-NL"/>
              </w:rPr>
              <w:t>. weer, uitval netspanning, storing infrastructuur derden etc.), Waddeneilanden zijn 's nachts niet bereikbaar</w:t>
            </w:r>
          </w:p>
        </w:tc>
        <w:tc>
          <w:tcPr>
            <w:tcW w:w="2977" w:type="dxa"/>
            <w:shd w:val="clear" w:color="auto" w:fill="auto"/>
            <w:hideMark/>
          </w:tcPr>
          <w:p w14:paraId="2019A6D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1322CC1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Voor </w:t>
            </w:r>
            <w:proofErr w:type="spellStart"/>
            <w:r w:rsidRPr="009815C6">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1 (Waddeneilanden) is een wijziging aangebracht in de VTO documenten: </w:t>
            </w:r>
            <w:proofErr w:type="spellStart"/>
            <w:r w:rsidRPr="009815C6">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1 wordt optioneel uitgevraagd en hiervoor gelden de volgende afwijkende SLA eisen:</w:t>
            </w:r>
            <w:r w:rsidRPr="009815C6">
              <w:rPr>
                <w:rFonts w:ascii="Calibri" w:eastAsia="Times New Roman" w:hAnsi="Calibri" w:cs="Calibri"/>
                <w:color w:val="000000"/>
                <w:lang w:eastAsia="nl-NL"/>
              </w:rPr>
              <w:br/>
            </w:r>
            <w:r w:rsidRPr="009815C6">
              <w:rPr>
                <w:rFonts w:ascii="Calibri" w:eastAsia="Times New Roman" w:hAnsi="Calibri" w:cs="Calibri"/>
                <w:i/>
                <w:iCs/>
                <w:color w:val="000000"/>
                <w:lang w:eastAsia="nl-NL"/>
              </w:rPr>
              <w:t>Een minimale ‘back on air’ tijd van 24 uur (</w:t>
            </w:r>
            <w:proofErr w:type="spellStart"/>
            <w:r w:rsidRPr="009815C6">
              <w:rPr>
                <w:rFonts w:ascii="Calibri" w:eastAsia="Times New Roman" w:hAnsi="Calibri" w:cs="Calibri"/>
                <w:i/>
                <w:iCs/>
                <w:color w:val="000000"/>
                <w:lang w:eastAsia="nl-NL"/>
              </w:rPr>
              <w:t>meantime</w:t>
            </w:r>
            <w:proofErr w:type="spellEnd"/>
            <w:r w:rsidRPr="009815C6">
              <w:rPr>
                <w:rFonts w:ascii="Calibri" w:eastAsia="Times New Roman" w:hAnsi="Calibri" w:cs="Calibri"/>
                <w:i/>
                <w:iCs/>
                <w:color w:val="000000"/>
                <w:lang w:eastAsia="nl-NL"/>
              </w:rPr>
              <w:t xml:space="preserve"> </w:t>
            </w:r>
            <w:proofErr w:type="spellStart"/>
            <w:r w:rsidRPr="009815C6">
              <w:rPr>
                <w:rFonts w:ascii="Calibri" w:eastAsia="Times New Roman" w:hAnsi="Calibri" w:cs="Calibri"/>
                <w:i/>
                <w:iCs/>
                <w:color w:val="000000"/>
                <w:lang w:eastAsia="nl-NL"/>
              </w:rPr>
              <w:t>to</w:t>
            </w:r>
            <w:proofErr w:type="spellEnd"/>
            <w:r w:rsidRPr="009815C6">
              <w:rPr>
                <w:rFonts w:ascii="Calibri" w:eastAsia="Times New Roman" w:hAnsi="Calibri" w:cs="Calibri"/>
                <w:i/>
                <w:iCs/>
                <w:color w:val="000000"/>
                <w:lang w:eastAsia="nl-NL"/>
              </w:rPr>
              <w:t xml:space="preserve"> </w:t>
            </w:r>
            <w:proofErr w:type="spellStart"/>
            <w:r w:rsidRPr="009815C6">
              <w:rPr>
                <w:rFonts w:ascii="Calibri" w:eastAsia="Times New Roman" w:hAnsi="Calibri" w:cs="Calibri"/>
                <w:i/>
                <w:iCs/>
                <w:color w:val="000000"/>
                <w:lang w:eastAsia="nl-NL"/>
              </w:rPr>
              <w:t>repair</w:t>
            </w:r>
            <w:proofErr w:type="spellEnd"/>
            <w:r w:rsidRPr="009815C6">
              <w:rPr>
                <w:rFonts w:ascii="Calibri" w:eastAsia="Times New Roman" w:hAnsi="Calibri" w:cs="Calibri"/>
                <w:i/>
                <w:iCs/>
                <w:color w:val="000000"/>
                <w:lang w:eastAsia="nl-NL"/>
              </w:rPr>
              <w:t>, - MTTR per incident waarbij vervolg uitval onder hetzelfde incident valt);</w:t>
            </w:r>
            <w:r w:rsidRPr="009815C6">
              <w:rPr>
                <w:rFonts w:ascii="Calibri" w:eastAsia="Times New Roman" w:hAnsi="Calibri" w:cs="Calibri"/>
                <w:i/>
                <w:iCs/>
                <w:color w:val="000000"/>
                <w:lang w:eastAsia="nl-NL"/>
              </w:rPr>
              <w:br/>
              <w:t xml:space="preserve">Een minimale hersteltijd van 2 dagen naar volledig herstel (back </w:t>
            </w:r>
            <w:proofErr w:type="spellStart"/>
            <w:r w:rsidRPr="009815C6">
              <w:rPr>
                <w:rFonts w:ascii="Calibri" w:eastAsia="Times New Roman" w:hAnsi="Calibri" w:cs="Calibri"/>
                <w:i/>
                <w:iCs/>
                <w:color w:val="000000"/>
                <w:lang w:eastAsia="nl-NL"/>
              </w:rPr>
              <w:t>to</w:t>
            </w:r>
            <w:proofErr w:type="spellEnd"/>
            <w:r w:rsidRPr="009815C6">
              <w:rPr>
                <w:rFonts w:ascii="Calibri" w:eastAsia="Times New Roman" w:hAnsi="Calibri" w:cs="Calibri"/>
                <w:i/>
                <w:iCs/>
                <w:color w:val="000000"/>
                <w:lang w:eastAsia="nl-NL"/>
              </w:rPr>
              <w:t xml:space="preserve"> </w:t>
            </w:r>
            <w:proofErr w:type="spellStart"/>
            <w:r w:rsidRPr="009815C6">
              <w:rPr>
                <w:rFonts w:ascii="Calibri" w:eastAsia="Times New Roman" w:hAnsi="Calibri" w:cs="Calibri"/>
                <w:i/>
                <w:iCs/>
                <w:color w:val="000000"/>
                <w:lang w:eastAsia="nl-NL"/>
              </w:rPr>
              <w:t>normal</w:t>
            </w:r>
            <w:proofErr w:type="spellEnd"/>
            <w:r w:rsidRPr="009815C6">
              <w:rPr>
                <w:rFonts w:ascii="Calibri" w:eastAsia="Times New Roman" w:hAnsi="Calibri" w:cs="Calibri"/>
                <w:i/>
                <w:iCs/>
                <w:color w:val="000000"/>
                <w:lang w:eastAsia="nl-NL"/>
              </w:rPr>
              <w:t>)</w:t>
            </w:r>
          </w:p>
        </w:tc>
      </w:tr>
      <w:tr w:rsidR="009815C6" w:rsidRPr="009815C6" w14:paraId="5BB9724B" w14:textId="77777777" w:rsidTr="009815C6">
        <w:trPr>
          <w:trHeight w:val="1728"/>
        </w:trPr>
        <w:tc>
          <w:tcPr>
            <w:tcW w:w="940" w:type="dxa"/>
            <w:shd w:val="clear" w:color="auto" w:fill="auto"/>
            <w:hideMark/>
          </w:tcPr>
          <w:p w14:paraId="231C6C1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53</w:t>
            </w:r>
          </w:p>
        </w:tc>
        <w:tc>
          <w:tcPr>
            <w:tcW w:w="3000" w:type="dxa"/>
            <w:shd w:val="clear" w:color="auto" w:fill="auto"/>
            <w:hideMark/>
          </w:tcPr>
          <w:p w14:paraId="146C3FE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19 EIS BD 3</w:t>
            </w:r>
          </w:p>
        </w:tc>
        <w:tc>
          <w:tcPr>
            <w:tcW w:w="4566" w:type="dxa"/>
            <w:shd w:val="clear" w:color="auto" w:fill="auto"/>
            <w:hideMark/>
          </w:tcPr>
          <w:p w14:paraId="17DCFAB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Kan hier worden </w:t>
            </w:r>
            <w:proofErr w:type="spellStart"/>
            <w:r w:rsidRPr="009815C6">
              <w:rPr>
                <w:rFonts w:ascii="Calibri" w:eastAsia="Times New Roman" w:hAnsi="Calibri" w:cs="Calibri"/>
                <w:color w:val="000000"/>
                <w:lang w:eastAsia="nl-NL"/>
              </w:rPr>
              <w:t>toegvoegd</w:t>
            </w:r>
            <w:proofErr w:type="spellEnd"/>
            <w:r w:rsidRPr="009815C6">
              <w:rPr>
                <w:rFonts w:ascii="Calibri" w:eastAsia="Times New Roman" w:hAnsi="Calibri" w:cs="Calibri"/>
                <w:color w:val="000000"/>
                <w:lang w:eastAsia="nl-NL"/>
              </w:rPr>
              <w:t xml:space="preserve"> dat dit exclusief uitval van netspanning is en afschakeling van zenders tussen 19:00 en 07:00 ten tijde van onderhoudswerkzaamheden of afschakeling voor derden (maximale overschrijding veldsterkte)</w:t>
            </w:r>
          </w:p>
        </w:tc>
        <w:tc>
          <w:tcPr>
            <w:tcW w:w="2977" w:type="dxa"/>
            <w:shd w:val="clear" w:color="auto" w:fill="auto"/>
            <w:hideMark/>
          </w:tcPr>
          <w:p w14:paraId="138BA20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6ED425C2" w14:textId="17219D08"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Onderhoud valt al -  indien correct aangekondigd en akkoord gegeven-  buiten de </w:t>
            </w:r>
            <w:proofErr w:type="spellStart"/>
            <w:r w:rsidRPr="009815C6">
              <w:rPr>
                <w:rFonts w:ascii="Calibri" w:eastAsia="Times New Roman" w:hAnsi="Calibri" w:cs="Calibri"/>
                <w:color w:val="000000"/>
                <w:lang w:eastAsia="nl-NL"/>
              </w:rPr>
              <w:t>onbeschikbaarheid</w:t>
            </w:r>
            <w:proofErr w:type="spellEnd"/>
            <w:r w:rsidRPr="009815C6">
              <w:rPr>
                <w:rFonts w:ascii="Calibri" w:eastAsia="Times New Roman" w:hAnsi="Calibri" w:cs="Calibri"/>
                <w:color w:val="000000"/>
                <w:lang w:eastAsia="nl-NL"/>
              </w:rPr>
              <w:t xml:space="preserve"> definitie. Stroom toevoer die vanaf het Net van toe</w:t>
            </w:r>
            <w:r>
              <w:rPr>
                <w:rFonts w:ascii="Calibri" w:eastAsia="Times New Roman" w:hAnsi="Calibri" w:cs="Calibri"/>
                <w:color w:val="000000"/>
                <w:lang w:eastAsia="nl-NL"/>
              </w:rPr>
              <w:t xml:space="preserve">leverancier </w:t>
            </w:r>
            <w:r w:rsidRPr="009815C6">
              <w:rPr>
                <w:rFonts w:ascii="Calibri" w:eastAsia="Times New Roman" w:hAnsi="Calibri" w:cs="Calibri"/>
                <w:color w:val="000000"/>
                <w:lang w:eastAsia="nl-NL"/>
              </w:rPr>
              <w:t xml:space="preserve">aantoonbaar in gebreke komt voegen we toe als uitzondering op de </w:t>
            </w:r>
            <w:proofErr w:type="spellStart"/>
            <w:r w:rsidRPr="009815C6">
              <w:rPr>
                <w:rFonts w:ascii="Calibri" w:eastAsia="Times New Roman" w:hAnsi="Calibri" w:cs="Calibri"/>
                <w:color w:val="000000"/>
                <w:lang w:eastAsia="nl-NL"/>
              </w:rPr>
              <w:t>onbeschikbaarheid</w:t>
            </w:r>
            <w:proofErr w:type="spellEnd"/>
            <w:r w:rsidRPr="009815C6">
              <w:rPr>
                <w:rFonts w:ascii="Calibri" w:eastAsia="Times New Roman" w:hAnsi="Calibri" w:cs="Calibri"/>
                <w:color w:val="000000"/>
                <w:lang w:eastAsia="nl-NL"/>
              </w:rPr>
              <w:t xml:space="preserve">   </w:t>
            </w:r>
          </w:p>
        </w:tc>
      </w:tr>
      <w:tr w:rsidR="009815C6" w:rsidRPr="009815C6" w14:paraId="318503B8" w14:textId="77777777" w:rsidTr="009815C6">
        <w:trPr>
          <w:trHeight w:val="3168"/>
        </w:trPr>
        <w:tc>
          <w:tcPr>
            <w:tcW w:w="940" w:type="dxa"/>
            <w:shd w:val="clear" w:color="auto" w:fill="auto"/>
            <w:hideMark/>
          </w:tcPr>
          <w:p w14:paraId="746299F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54</w:t>
            </w:r>
          </w:p>
        </w:tc>
        <w:tc>
          <w:tcPr>
            <w:tcW w:w="3000" w:type="dxa"/>
            <w:shd w:val="clear" w:color="auto" w:fill="auto"/>
            <w:hideMark/>
          </w:tcPr>
          <w:p w14:paraId="05B94FBB"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19 EIS BD 6</w:t>
            </w:r>
          </w:p>
        </w:tc>
        <w:tc>
          <w:tcPr>
            <w:tcW w:w="4566" w:type="dxa"/>
            <w:shd w:val="clear" w:color="auto" w:fill="auto"/>
            <w:hideMark/>
          </w:tcPr>
          <w:p w14:paraId="31347900"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Kunt u hier extra uitleg geven wat de wensen zijn? Mogen hier extra vergoedingen voor worden gerekend als er een handeling voor moet worden uitgevoerd of apparatuur voor moeten worden ingericht?</w:t>
            </w:r>
          </w:p>
        </w:tc>
        <w:tc>
          <w:tcPr>
            <w:tcW w:w="2977" w:type="dxa"/>
            <w:shd w:val="clear" w:color="auto" w:fill="auto"/>
            <w:hideMark/>
          </w:tcPr>
          <w:p w14:paraId="4512B41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7993ADF2" w14:textId="1F1B0135"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Indien door calamiteiten de reguliere aanvoerlijn niet meer bruikbaar is, zal vergunninghouder een alternatieve aanvoer moeten bewerkstelligen. Netwerkoperator dient, in dat geval zijn medewerking hieraan te verlenen door een alternatief inname punt aan te bieden. (Dit kan dan bijvoorbeeld terrestrisch zijn.) Hier kan Netwerkoperator geen aparte vergoeding voor in rekening brengen. Het bieden van een inname punt (ook alternatieven bij calamiteiten) behoort tot de standaard gewenste dienstverlening.</w:t>
            </w:r>
          </w:p>
        </w:tc>
      </w:tr>
      <w:tr w:rsidR="009815C6" w:rsidRPr="009815C6" w14:paraId="3596CBD1" w14:textId="77777777" w:rsidTr="007332DD">
        <w:trPr>
          <w:trHeight w:val="599"/>
        </w:trPr>
        <w:tc>
          <w:tcPr>
            <w:tcW w:w="940" w:type="dxa"/>
            <w:shd w:val="clear" w:color="auto" w:fill="auto"/>
            <w:hideMark/>
          </w:tcPr>
          <w:p w14:paraId="56EC656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55</w:t>
            </w:r>
          </w:p>
        </w:tc>
        <w:tc>
          <w:tcPr>
            <w:tcW w:w="3000" w:type="dxa"/>
            <w:shd w:val="clear" w:color="auto" w:fill="auto"/>
            <w:hideMark/>
          </w:tcPr>
          <w:p w14:paraId="45FB567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19 EIS O&amp;O 2</w:t>
            </w:r>
          </w:p>
        </w:tc>
        <w:tc>
          <w:tcPr>
            <w:tcW w:w="4566" w:type="dxa"/>
            <w:shd w:val="clear" w:color="auto" w:fill="auto"/>
            <w:hideMark/>
          </w:tcPr>
          <w:p w14:paraId="5632087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Kan de onderbouwing van de afkeuring van het onderhoud beter omschreven worden? </w:t>
            </w:r>
          </w:p>
        </w:tc>
        <w:tc>
          <w:tcPr>
            <w:tcW w:w="2977" w:type="dxa"/>
            <w:shd w:val="clear" w:color="auto" w:fill="auto"/>
            <w:hideMark/>
          </w:tcPr>
          <w:p w14:paraId="587AF419"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Als een vergunninghouder niet reageert, mogen de werkzaamheden dan doorgaan en wordt dit gezien als akkoord? We zien graag de lead voor het onderhoud bij de netwerkoperator.</w:t>
            </w:r>
          </w:p>
        </w:tc>
        <w:tc>
          <w:tcPr>
            <w:tcW w:w="3969" w:type="dxa"/>
            <w:shd w:val="clear" w:color="auto" w:fill="auto"/>
            <w:hideMark/>
          </w:tcPr>
          <w:p w14:paraId="7FF3587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Indien vergunninghouder niet binnen 5 werkdagen reageert op email en telefonisch dan kan Netwerkoperator de geplande werkzaamheden doorvoeren. Echter, deze eis omvat de situatie dat het geplande onderhoud door Netwerkoperator op een moment valt dat vergunninghouder een belangrijke radio uitzending heeft. Dan mag vergunninghouder het geplande </w:t>
            </w:r>
            <w:r w:rsidRPr="009815C6">
              <w:rPr>
                <w:rFonts w:ascii="Calibri" w:eastAsia="Times New Roman" w:hAnsi="Calibri" w:cs="Calibri"/>
                <w:color w:val="000000"/>
                <w:lang w:eastAsia="nl-NL"/>
              </w:rPr>
              <w:lastRenderedPageBreak/>
              <w:t>onderhoud in desbetreffend tijdvak weigeren.</w:t>
            </w:r>
          </w:p>
        </w:tc>
      </w:tr>
      <w:tr w:rsidR="009815C6" w:rsidRPr="009815C6" w14:paraId="289EBAB0" w14:textId="77777777" w:rsidTr="009815C6">
        <w:trPr>
          <w:trHeight w:val="576"/>
        </w:trPr>
        <w:tc>
          <w:tcPr>
            <w:tcW w:w="940" w:type="dxa"/>
            <w:shd w:val="clear" w:color="auto" w:fill="auto"/>
            <w:hideMark/>
          </w:tcPr>
          <w:p w14:paraId="7515D615"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56</w:t>
            </w:r>
          </w:p>
        </w:tc>
        <w:tc>
          <w:tcPr>
            <w:tcW w:w="3000" w:type="dxa"/>
            <w:shd w:val="clear" w:color="auto" w:fill="auto"/>
            <w:hideMark/>
          </w:tcPr>
          <w:p w14:paraId="61C2D69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20 EIS PT 2</w:t>
            </w:r>
          </w:p>
        </w:tc>
        <w:tc>
          <w:tcPr>
            <w:tcW w:w="4566" w:type="dxa"/>
            <w:shd w:val="clear" w:color="auto" w:fill="auto"/>
            <w:hideMark/>
          </w:tcPr>
          <w:p w14:paraId="0AAE6B1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Is de netwerkoperator vrij om vorm en inhoud van het rapport te bepalen?</w:t>
            </w:r>
          </w:p>
        </w:tc>
        <w:tc>
          <w:tcPr>
            <w:tcW w:w="2977" w:type="dxa"/>
            <w:shd w:val="clear" w:color="auto" w:fill="auto"/>
            <w:hideMark/>
          </w:tcPr>
          <w:p w14:paraId="604F3934"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5A5276A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Dit mag, zolang het met een standaard (office) pakket te openen en lezen is. </w:t>
            </w:r>
          </w:p>
        </w:tc>
      </w:tr>
      <w:tr w:rsidR="009815C6" w:rsidRPr="009815C6" w14:paraId="311D9B78" w14:textId="77777777" w:rsidTr="009815C6">
        <w:trPr>
          <w:trHeight w:val="576"/>
        </w:trPr>
        <w:tc>
          <w:tcPr>
            <w:tcW w:w="940" w:type="dxa"/>
            <w:shd w:val="clear" w:color="auto" w:fill="auto"/>
            <w:hideMark/>
          </w:tcPr>
          <w:p w14:paraId="6C6CB97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57</w:t>
            </w:r>
          </w:p>
        </w:tc>
        <w:tc>
          <w:tcPr>
            <w:tcW w:w="3000" w:type="dxa"/>
            <w:shd w:val="clear" w:color="auto" w:fill="auto"/>
            <w:hideMark/>
          </w:tcPr>
          <w:p w14:paraId="2215028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pagina 20 EIS AS-1</w:t>
            </w:r>
          </w:p>
        </w:tc>
        <w:tc>
          <w:tcPr>
            <w:tcW w:w="4566" w:type="dxa"/>
            <w:shd w:val="clear" w:color="auto" w:fill="auto"/>
            <w:hideMark/>
          </w:tcPr>
          <w:p w14:paraId="1B0E89F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toevoeging: Data signalen van vergunninghouder kunnen via een andere route worden aangeboden, mits het gangbare verbindingen betreft.</w:t>
            </w:r>
          </w:p>
        </w:tc>
        <w:tc>
          <w:tcPr>
            <w:tcW w:w="2977" w:type="dxa"/>
            <w:shd w:val="clear" w:color="auto" w:fill="auto"/>
            <w:hideMark/>
          </w:tcPr>
          <w:p w14:paraId="17CEFCC2"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7AC34AE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Is toegestaan, zolang het standaarden zijn die van een lokale omroep verwacht mogen worden. </w:t>
            </w:r>
          </w:p>
        </w:tc>
      </w:tr>
      <w:tr w:rsidR="009815C6" w:rsidRPr="009815C6" w14:paraId="307EB3A7" w14:textId="77777777" w:rsidTr="007332DD">
        <w:trPr>
          <w:trHeight w:val="4284"/>
        </w:trPr>
        <w:tc>
          <w:tcPr>
            <w:tcW w:w="940" w:type="dxa"/>
            <w:shd w:val="clear" w:color="auto" w:fill="auto"/>
            <w:hideMark/>
          </w:tcPr>
          <w:p w14:paraId="57E227B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lastRenderedPageBreak/>
              <w:t>58</w:t>
            </w:r>
          </w:p>
        </w:tc>
        <w:tc>
          <w:tcPr>
            <w:tcW w:w="3000" w:type="dxa"/>
            <w:shd w:val="clear" w:color="auto" w:fill="auto"/>
            <w:hideMark/>
          </w:tcPr>
          <w:p w14:paraId="1A1B024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Vraagspecificatie "Leveren en beheren van het signaalovernamepunt" pagina 20</w:t>
            </w:r>
          </w:p>
        </w:tc>
        <w:tc>
          <w:tcPr>
            <w:tcW w:w="4566" w:type="dxa"/>
            <w:shd w:val="clear" w:color="auto" w:fill="auto"/>
            <w:hideMark/>
          </w:tcPr>
          <w:p w14:paraId="19344E38"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 vergunninghouder moet zelf voorzien in de verbinding tot het overnamepunt, DSL, Glasvezel, straalverbinding, of iets anders? Wie betaalt de rack ruimte, apparatuur, stroomkosten </w:t>
            </w:r>
            <w:proofErr w:type="spellStart"/>
            <w:r w:rsidRPr="009815C6">
              <w:rPr>
                <w:rFonts w:ascii="Calibri" w:eastAsia="Times New Roman" w:hAnsi="Calibri" w:cs="Calibri"/>
                <w:color w:val="000000"/>
                <w:lang w:eastAsia="nl-NL"/>
              </w:rPr>
              <w:t>enz</w:t>
            </w:r>
            <w:proofErr w:type="spellEnd"/>
            <w:r w:rsidRPr="009815C6">
              <w:rPr>
                <w:rFonts w:ascii="Calibri" w:eastAsia="Times New Roman" w:hAnsi="Calibri" w:cs="Calibri"/>
                <w:color w:val="000000"/>
                <w:lang w:eastAsia="nl-NL"/>
              </w:rPr>
              <w:t>?</w:t>
            </w:r>
          </w:p>
        </w:tc>
        <w:tc>
          <w:tcPr>
            <w:tcW w:w="2977" w:type="dxa"/>
            <w:shd w:val="clear" w:color="auto" w:fill="auto"/>
            <w:hideMark/>
          </w:tcPr>
          <w:p w14:paraId="06A972B2" w14:textId="790001D3"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Afspraken programmavoorziening en aanleveren van het signaal van de omroep naar de netwerkoperator kunnen in een separate Bijlage worden beschreven, </w:t>
            </w:r>
            <w:proofErr w:type="spellStart"/>
            <w:r w:rsidRPr="009815C6">
              <w:rPr>
                <w:rFonts w:ascii="Calibri" w:eastAsia="Times New Roman" w:hAnsi="Calibri" w:cs="Calibri"/>
                <w:color w:val="000000"/>
                <w:lang w:eastAsia="nl-NL"/>
              </w:rPr>
              <w:t>bijv</w:t>
            </w:r>
            <w:proofErr w:type="spellEnd"/>
            <w:r w:rsidRPr="009815C6">
              <w:rPr>
                <w:rFonts w:ascii="Calibri" w:eastAsia="Times New Roman" w:hAnsi="Calibri" w:cs="Calibri"/>
                <w:color w:val="000000"/>
                <w:lang w:eastAsia="nl-NL"/>
              </w:rPr>
              <w:t xml:space="preserve"> ophalen internetsignaal is gratis, point </w:t>
            </w:r>
            <w:proofErr w:type="spellStart"/>
            <w:r w:rsidRPr="009815C6">
              <w:rPr>
                <w:rFonts w:ascii="Calibri" w:eastAsia="Times New Roman" w:hAnsi="Calibri" w:cs="Calibri"/>
                <w:color w:val="000000"/>
                <w:lang w:eastAsia="nl-NL"/>
              </w:rPr>
              <w:t>to</w:t>
            </w:r>
            <w:proofErr w:type="spellEnd"/>
            <w:r w:rsidRPr="009815C6">
              <w:rPr>
                <w:rFonts w:ascii="Calibri" w:eastAsia="Times New Roman" w:hAnsi="Calibri" w:cs="Calibri"/>
                <w:color w:val="000000"/>
                <w:lang w:eastAsia="nl-NL"/>
              </w:rPr>
              <w:t xml:space="preserve"> point verbinding dient vergoeding te worden voldaan die afhankelijk van de wensen van de vergunninghouder is.</w:t>
            </w:r>
          </w:p>
        </w:tc>
        <w:tc>
          <w:tcPr>
            <w:tcW w:w="3969" w:type="dxa"/>
            <w:shd w:val="clear" w:color="auto" w:fill="auto"/>
            <w:hideMark/>
          </w:tcPr>
          <w:p w14:paraId="2DA1BA8E"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 kosten voor het signaaltransport van vergunninghouder naar Netwerkoperator zijn voor rekening van vergunninghouder en vallen dus nadrukkelijk buiten scope van deze offerte uitvraag van NLPO. Echter, Netwerkoperator moet hiervoor wel aan de inname kant de nodige voorzieningen treffen. Dit behoort onderdeel te zijn van de aanbieding. Hier mag geen aparte vergoeding voor in rekening worden gebracht. </w:t>
            </w:r>
          </w:p>
        </w:tc>
      </w:tr>
      <w:tr w:rsidR="009815C6" w:rsidRPr="009815C6" w14:paraId="5EDA5E5A" w14:textId="77777777" w:rsidTr="009815C6">
        <w:trPr>
          <w:trHeight w:val="1152"/>
        </w:trPr>
        <w:tc>
          <w:tcPr>
            <w:tcW w:w="940" w:type="dxa"/>
            <w:shd w:val="clear" w:color="auto" w:fill="auto"/>
            <w:hideMark/>
          </w:tcPr>
          <w:p w14:paraId="07BECDE3"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59</w:t>
            </w:r>
          </w:p>
        </w:tc>
        <w:tc>
          <w:tcPr>
            <w:tcW w:w="3000" w:type="dxa"/>
            <w:shd w:val="clear" w:color="auto" w:fill="auto"/>
            <w:hideMark/>
          </w:tcPr>
          <w:p w14:paraId="3DED2421"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Vraagspecificatie "Support DAB+ dienstverlening " </w:t>
            </w:r>
            <w:proofErr w:type="spellStart"/>
            <w:r w:rsidRPr="009815C6">
              <w:rPr>
                <w:rFonts w:ascii="Calibri" w:eastAsia="Times New Roman" w:hAnsi="Calibri" w:cs="Calibri"/>
                <w:color w:val="000000"/>
                <w:lang w:eastAsia="nl-NL"/>
              </w:rPr>
              <w:t>bullet</w:t>
            </w:r>
            <w:proofErr w:type="spellEnd"/>
            <w:r w:rsidRPr="009815C6">
              <w:rPr>
                <w:rFonts w:ascii="Calibri" w:eastAsia="Times New Roman" w:hAnsi="Calibri" w:cs="Calibri"/>
                <w:color w:val="000000"/>
                <w:lang w:eastAsia="nl-NL"/>
              </w:rPr>
              <w:t xml:space="preserve"> 1 pagina 21</w:t>
            </w:r>
          </w:p>
        </w:tc>
        <w:tc>
          <w:tcPr>
            <w:tcW w:w="4566" w:type="dxa"/>
            <w:shd w:val="clear" w:color="auto" w:fill="auto"/>
            <w:hideMark/>
          </w:tcPr>
          <w:p w14:paraId="4D8FD556"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Graag ontvangen wij een specifieke beschrijving van wat verstaan wordt onder Zendinstallatie uptime (is dit incl. of excl. programma aanvoer etc.)</w:t>
            </w:r>
          </w:p>
        </w:tc>
        <w:tc>
          <w:tcPr>
            <w:tcW w:w="2977" w:type="dxa"/>
            <w:shd w:val="clear" w:color="auto" w:fill="auto"/>
            <w:hideMark/>
          </w:tcPr>
          <w:p w14:paraId="21F82BCC"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48B4E5A2" w14:textId="648CC4BE"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De SLA uptime eisen gelden voor het geheel van alle DAB+  apparatuur, infrastructuur, diensten en software die nodig zijn om de SLA binnen een </w:t>
            </w:r>
            <w:proofErr w:type="spellStart"/>
            <w:r>
              <w:rPr>
                <w:rFonts w:ascii="Calibri" w:eastAsia="Times New Roman" w:hAnsi="Calibri" w:cs="Calibri"/>
                <w:color w:val="000000"/>
                <w:lang w:eastAsia="nl-NL"/>
              </w:rPr>
              <w:t>Allotment</w:t>
            </w:r>
            <w:proofErr w:type="spellEnd"/>
            <w:r w:rsidRPr="009815C6">
              <w:rPr>
                <w:rFonts w:ascii="Calibri" w:eastAsia="Times New Roman" w:hAnsi="Calibri" w:cs="Calibri"/>
                <w:color w:val="000000"/>
                <w:lang w:eastAsia="nl-NL"/>
              </w:rPr>
              <w:t xml:space="preserve"> te behalen.</w:t>
            </w:r>
          </w:p>
        </w:tc>
      </w:tr>
      <w:tr w:rsidR="009815C6" w:rsidRPr="009815C6" w14:paraId="15C54D1E" w14:textId="77777777" w:rsidTr="009815C6">
        <w:trPr>
          <w:trHeight w:val="864"/>
        </w:trPr>
        <w:tc>
          <w:tcPr>
            <w:tcW w:w="940" w:type="dxa"/>
            <w:shd w:val="clear" w:color="auto" w:fill="auto"/>
            <w:hideMark/>
          </w:tcPr>
          <w:p w14:paraId="7A628F1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60</w:t>
            </w:r>
          </w:p>
        </w:tc>
        <w:tc>
          <w:tcPr>
            <w:tcW w:w="3000" w:type="dxa"/>
            <w:shd w:val="clear" w:color="auto" w:fill="auto"/>
            <w:hideMark/>
          </w:tcPr>
          <w:p w14:paraId="3219455F"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xml:space="preserve">Vraagspecificatie "Support DAB+ dienstverlening " </w:t>
            </w:r>
            <w:proofErr w:type="spellStart"/>
            <w:r w:rsidRPr="009815C6">
              <w:rPr>
                <w:rFonts w:ascii="Calibri" w:eastAsia="Times New Roman" w:hAnsi="Calibri" w:cs="Calibri"/>
                <w:color w:val="000000"/>
                <w:lang w:eastAsia="nl-NL"/>
              </w:rPr>
              <w:t>bullet</w:t>
            </w:r>
            <w:proofErr w:type="spellEnd"/>
            <w:r w:rsidRPr="009815C6">
              <w:rPr>
                <w:rFonts w:ascii="Calibri" w:eastAsia="Times New Roman" w:hAnsi="Calibri" w:cs="Calibri"/>
                <w:color w:val="000000"/>
                <w:lang w:eastAsia="nl-NL"/>
              </w:rPr>
              <w:t xml:space="preserve"> 6 pagina 21</w:t>
            </w:r>
          </w:p>
        </w:tc>
        <w:tc>
          <w:tcPr>
            <w:tcW w:w="4566" w:type="dxa"/>
            <w:shd w:val="clear" w:color="auto" w:fill="auto"/>
            <w:hideMark/>
          </w:tcPr>
          <w:p w14:paraId="0E870E7A"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Extremiteiten uitgezonderd (</w:t>
            </w:r>
            <w:proofErr w:type="spellStart"/>
            <w:r w:rsidRPr="009815C6">
              <w:rPr>
                <w:rFonts w:ascii="Calibri" w:eastAsia="Times New Roman" w:hAnsi="Calibri" w:cs="Calibri"/>
                <w:color w:val="000000"/>
                <w:lang w:eastAsia="nl-NL"/>
              </w:rPr>
              <w:t>oa</w:t>
            </w:r>
            <w:proofErr w:type="spellEnd"/>
            <w:r w:rsidRPr="009815C6">
              <w:rPr>
                <w:rFonts w:ascii="Calibri" w:eastAsia="Times New Roman" w:hAnsi="Calibri" w:cs="Calibri"/>
                <w:color w:val="000000"/>
                <w:lang w:eastAsia="nl-NL"/>
              </w:rPr>
              <w:t>. Weer, uitval netspanning, storing infrastructuur derden etc.), Waddeneilanden zijn 's nachts niet bereikbaar</w:t>
            </w:r>
          </w:p>
        </w:tc>
        <w:tc>
          <w:tcPr>
            <w:tcW w:w="2977" w:type="dxa"/>
            <w:shd w:val="clear" w:color="auto" w:fill="auto"/>
            <w:hideMark/>
          </w:tcPr>
          <w:p w14:paraId="6E43244D"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 </w:t>
            </w:r>
          </w:p>
        </w:tc>
        <w:tc>
          <w:tcPr>
            <w:tcW w:w="3969" w:type="dxa"/>
            <w:shd w:val="clear" w:color="auto" w:fill="auto"/>
            <w:hideMark/>
          </w:tcPr>
          <w:p w14:paraId="20D490D7" w14:textId="77777777" w:rsidR="009815C6" w:rsidRPr="009815C6" w:rsidRDefault="009815C6" w:rsidP="009815C6">
            <w:pPr>
              <w:spacing w:after="0" w:line="240" w:lineRule="auto"/>
              <w:rPr>
                <w:rFonts w:ascii="Calibri" w:eastAsia="Times New Roman" w:hAnsi="Calibri" w:cs="Calibri"/>
                <w:color w:val="000000"/>
                <w:lang w:eastAsia="nl-NL"/>
              </w:rPr>
            </w:pPr>
            <w:r w:rsidRPr="009815C6">
              <w:rPr>
                <w:rFonts w:ascii="Calibri" w:eastAsia="Times New Roman" w:hAnsi="Calibri" w:cs="Calibri"/>
                <w:color w:val="000000"/>
                <w:lang w:eastAsia="nl-NL"/>
              </w:rPr>
              <w:t>Zie antwoord vraag 33.</w:t>
            </w:r>
          </w:p>
        </w:tc>
      </w:tr>
    </w:tbl>
    <w:p w14:paraId="1A4D720E" w14:textId="251F9FCE" w:rsidR="009815C6" w:rsidRDefault="007332DD" w:rsidP="007332DD">
      <w:pPr>
        <w:rPr>
          <w:sz w:val="20"/>
          <w:szCs w:val="20"/>
        </w:rPr>
      </w:pPr>
      <w:r>
        <w:rPr>
          <w:sz w:val="20"/>
          <w:szCs w:val="20"/>
        </w:rPr>
        <w:lastRenderedPageBreak/>
        <w:t>Voorbeeld berekening uitwerking beoordeling prijs:</w:t>
      </w:r>
    </w:p>
    <w:p w14:paraId="0C21E586" w14:textId="77777777" w:rsidR="007332DD" w:rsidRPr="005304C0" w:rsidRDefault="007332DD" w:rsidP="007332DD">
      <w:pPr>
        <w:spacing w:after="0" w:line="240" w:lineRule="exact"/>
        <w:rPr>
          <w:rStyle w:val="Nadruk"/>
          <w:rFonts w:cstheme="minorHAnsi"/>
          <w:i w:val="0"/>
        </w:rPr>
      </w:pPr>
      <w:r w:rsidRPr="005304C0">
        <w:rPr>
          <w:rStyle w:val="Nadruk"/>
          <w:rFonts w:cstheme="minorHAnsi"/>
        </w:rPr>
        <w:t xml:space="preserve">De score op de prijs wordt vastgesteld via de volgende formule: </w:t>
      </w:r>
    </w:p>
    <w:p w14:paraId="0B6F01DA" w14:textId="77777777" w:rsidR="007332DD" w:rsidRPr="005304C0" w:rsidRDefault="007332DD" w:rsidP="007332DD">
      <w:pPr>
        <w:autoSpaceDE w:val="0"/>
        <w:autoSpaceDN w:val="0"/>
        <w:adjustRightInd w:val="0"/>
        <w:spacing w:after="0"/>
        <w:rPr>
          <w:rStyle w:val="Nadruk"/>
          <w:rFonts w:cstheme="minorHAnsi"/>
        </w:rPr>
      </w:pPr>
      <w:r w:rsidRPr="005304C0">
        <w:rPr>
          <w:rStyle w:val="Nadruk"/>
          <w:rFonts w:cstheme="minorHAnsi"/>
        </w:rPr>
        <w:t xml:space="preserve">=(30-(30*(LOG(P/LP)/LOG(2)))) </w:t>
      </w:r>
    </w:p>
    <w:p w14:paraId="3CA6B634" w14:textId="77777777" w:rsidR="007332DD" w:rsidRPr="005304C0" w:rsidRDefault="007332DD" w:rsidP="007332DD">
      <w:pPr>
        <w:autoSpaceDE w:val="0"/>
        <w:autoSpaceDN w:val="0"/>
        <w:adjustRightInd w:val="0"/>
        <w:spacing w:after="0"/>
        <w:rPr>
          <w:rStyle w:val="Nadruk"/>
          <w:rFonts w:cstheme="minorHAnsi"/>
        </w:rPr>
      </w:pPr>
      <w:r w:rsidRPr="005304C0">
        <w:rPr>
          <w:rStyle w:val="Nadruk"/>
          <w:rFonts w:cstheme="minorHAnsi"/>
        </w:rPr>
        <w:t xml:space="preserve">P = inschrijfprijs </w:t>
      </w:r>
    </w:p>
    <w:p w14:paraId="62A8B098" w14:textId="77777777" w:rsidR="007332DD" w:rsidRPr="005304C0" w:rsidRDefault="007332DD" w:rsidP="007332DD">
      <w:pPr>
        <w:autoSpaceDE w:val="0"/>
        <w:autoSpaceDN w:val="0"/>
        <w:adjustRightInd w:val="0"/>
        <w:spacing w:after="0"/>
        <w:rPr>
          <w:rStyle w:val="Nadruk"/>
          <w:rFonts w:cstheme="minorHAnsi"/>
        </w:rPr>
      </w:pPr>
      <w:r w:rsidRPr="005304C0">
        <w:rPr>
          <w:rStyle w:val="Nadruk"/>
          <w:rFonts w:cstheme="minorHAnsi"/>
        </w:rPr>
        <w:t xml:space="preserve">LP: laagste inschrijfprijs </w:t>
      </w:r>
    </w:p>
    <w:p w14:paraId="7C8BB0E6" w14:textId="77777777" w:rsidR="007332DD" w:rsidRDefault="007332DD" w:rsidP="007332DD">
      <w:pPr>
        <w:spacing w:after="0" w:line="240" w:lineRule="exact"/>
        <w:rPr>
          <w:rStyle w:val="Nadruk"/>
          <w:rFonts w:cstheme="minorHAnsi"/>
        </w:rPr>
      </w:pPr>
      <w:r w:rsidRPr="005304C0">
        <w:rPr>
          <w:rStyle w:val="Nadruk"/>
          <w:rFonts w:cstheme="minorHAnsi"/>
        </w:rPr>
        <w:t>LOG: logaritme</w:t>
      </w:r>
    </w:p>
    <w:p w14:paraId="160E6729" w14:textId="421C99B2" w:rsidR="007332DD" w:rsidRPr="005304C0" w:rsidRDefault="007332DD" w:rsidP="007332DD">
      <w:pPr>
        <w:spacing w:after="0" w:line="240" w:lineRule="exact"/>
        <w:rPr>
          <w:rStyle w:val="Nadruk"/>
          <w:rFonts w:cstheme="minorHAnsi"/>
          <w:i w:val="0"/>
        </w:rPr>
      </w:pPr>
    </w:p>
    <w:p w14:paraId="7A04258F" w14:textId="77777777" w:rsidR="007332DD" w:rsidRDefault="007332DD" w:rsidP="007332DD">
      <w:pPr>
        <w:rPr>
          <w:sz w:val="20"/>
          <w:szCs w:val="20"/>
        </w:rPr>
      </w:pPr>
    </w:p>
    <w:p w14:paraId="147E8552" w14:textId="77777777" w:rsidR="007332DD" w:rsidRDefault="007332DD" w:rsidP="007332DD">
      <w:pPr>
        <w:rPr>
          <w:sz w:val="20"/>
          <w:szCs w:val="20"/>
        </w:rPr>
      </w:pPr>
    </w:p>
    <w:tbl>
      <w:tblPr>
        <w:tblW w:w="9480" w:type="dxa"/>
        <w:tblCellMar>
          <w:left w:w="70" w:type="dxa"/>
          <w:right w:w="70" w:type="dxa"/>
        </w:tblCellMar>
        <w:tblLook w:val="04A0" w:firstRow="1" w:lastRow="0" w:firstColumn="1" w:lastColumn="0" w:noHBand="0" w:noVBand="1"/>
      </w:tblPr>
      <w:tblGrid>
        <w:gridCol w:w="2450"/>
        <w:gridCol w:w="3270"/>
        <w:gridCol w:w="940"/>
        <w:gridCol w:w="940"/>
        <w:gridCol w:w="940"/>
        <w:gridCol w:w="940"/>
      </w:tblGrid>
      <w:tr w:rsidR="007332DD" w:rsidRPr="007332DD" w14:paraId="1F2EF019" w14:textId="77777777" w:rsidTr="007332DD">
        <w:trPr>
          <w:trHeight w:val="288"/>
        </w:trPr>
        <w:tc>
          <w:tcPr>
            <w:tcW w:w="5720" w:type="dxa"/>
            <w:gridSpan w:val="2"/>
            <w:tcBorders>
              <w:top w:val="nil"/>
              <w:left w:val="nil"/>
              <w:bottom w:val="nil"/>
              <w:right w:val="nil"/>
            </w:tcBorders>
            <w:shd w:val="clear" w:color="auto" w:fill="auto"/>
            <w:noWrap/>
            <w:vAlign w:val="center"/>
            <w:hideMark/>
          </w:tcPr>
          <w:p w14:paraId="45A4C212" w14:textId="5E410F37" w:rsidR="007332DD" w:rsidRPr="007332DD" w:rsidRDefault="007332DD" w:rsidP="007332DD">
            <w:pPr>
              <w:spacing w:after="0" w:line="240" w:lineRule="auto"/>
              <w:rPr>
                <w:rFonts w:ascii="Calibri" w:eastAsia="Times New Roman" w:hAnsi="Calibri" w:cs="Calibri"/>
                <w:i/>
                <w:iCs/>
                <w:color w:val="000000"/>
                <w:sz w:val="20"/>
                <w:szCs w:val="20"/>
                <w:lang w:eastAsia="nl-NL"/>
              </w:rPr>
            </w:pPr>
          </w:p>
        </w:tc>
        <w:tc>
          <w:tcPr>
            <w:tcW w:w="940" w:type="dxa"/>
            <w:tcBorders>
              <w:top w:val="nil"/>
              <w:left w:val="nil"/>
              <w:bottom w:val="nil"/>
              <w:right w:val="nil"/>
            </w:tcBorders>
            <w:shd w:val="clear" w:color="auto" w:fill="auto"/>
            <w:noWrap/>
            <w:vAlign w:val="bottom"/>
            <w:hideMark/>
          </w:tcPr>
          <w:p w14:paraId="5CB5FF1C" w14:textId="77777777" w:rsidR="007332DD" w:rsidRPr="007332DD" w:rsidRDefault="007332DD" w:rsidP="007332DD">
            <w:pPr>
              <w:spacing w:after="0" w:line="240" w:lineRule="auto"/>
              <w:rPr>
                <w:rFonts w:ascii="Calibri" w:eastAsia="Times New Roman" w:hAnsi="Calibri" w:cs="Calibri"/>
                <w:i/>
                <w:iCs/>
                <w:color w:val="000000"/>
                <w:sz w:val="20"/>
                <w:szCs w:val="20"/>
                <w:lang w:eastAsia="nl-NL"/>
              </w:rPr>
            </w:pPr>
          </w:p>
        </w:tc>
        <w:tc>
          <w:tcPr>
            <w:tcW w:w="940" w:type="dxa"/>
            <w:tcBorders>
              <w:top w:val="nil"/>
              <w:left w:val="nil"/>
              <w:bottom w:val="nil"/>
              <w:right w:val="nil"/>
            </w:tcBorders>
            <w:shd w:val="clear" w:color="auto" w:fill="auto"/>
            <w:noWrap/>
            <w:vAlign w:val="bottom"/>
            <w:hideMark/>
          </w:tcPr>
          <w:p w14:paraId="4D08B574"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2260CA3"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68BFBFD3"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r>
      <w:tr w:rsidR="007332DD" w:rsidRPr="007332DD" w14:paraId="40BB8DC4" w14:textId="77777777" w:rsidTr="007332DD">
        <w:trPr>
          <w:trHeight w:val="288"/>
        </w:trPr>
        <w:tc>
          <w:tcPr>
            <w:tcW w:w="5720" w:type="dxa"/>
            <w:gridSpan w:val="2"/>
            <w:tcBorders>
              <w:top w:val="nil"/>
              <w:left w:val="nil"/>
              <w:bottom w:val="single" w:sz="4" w:space="0" w:color="auto"/>
              <w:right w:val="nil"/>
            </w:tcBorders>
            <w:shd w:val="clear" w:color="auto" w:fill="auto"/>
            <w:noWrap/>
            <w:vAlign w:val="center"/>
            <w:hideMark/>
          </w:tcPr>
          <w:p w14:paraId="54FF32D9" w14:textId="77777777" w:rsidR="007332DD" w:rsidRPr="007332DD" w:rsidRDefault="007332DD" w:rsidP="007332DD">
            <w:pPr>
              <w:spacing w:after="0" w:line="240" w:lineRule="auto"/>
              <w:rPr>
                <w:rFonts w:ascii="Calibri" w:eastAsia="Times New Roman" w:hAnsi="Calibri" w:cs="Calibri"/>
                <w:b/>
                <w:bCs/>
                <w:i/>
                <w:iCs/>
                <w:color w:val="000000"/>
                <w:sz w:val="20"/>
                <w:szCs w:val="20"/>
                <w:lang w:eastAsia="nl-NL"/>
              </w:rPr>
            </w:pPr>
            <w:r w:rsidRPr="007332DD">
              <w:rPr>
                <w:rFonts w:ascii="Calibri" w:eastAsia="Times New Roman" w:hAnsi="Calibri" w:cs="Calibri"/>
                <w:b/>
                <w:bCs/>
                <w:i/>
                <w:iCs/>
                <w:color w:val="000000"/>
                <w:sz w:val="20"/>
                <w:szCs w:val="20"/>
                <w:lang w:eastAsia="nl-NL"/>
              </w:rPr>
              <w:t>voorbeeld berekening</w:t>
            </w:r>
          </w:p>
        </w:tc>
        <w:tc>
          <w:tcPr>
            <w:tcW w:w="940" w:type="dxa"/>
            <w:tcBorders>
              <w:top w:val="nil"/>
              <w:left w:val="nil"/>
              <w:bottom w:val="single" w:sz="4" w:space="0" w:color="auto"/>
              <w:right w:val="nil"/>
            </w:tcBorders>
            <w:shd w:val="clear" w:color="auto" w:fill="auto"/>
            <w:noWrap/>
            <w:vAlign w:val="bottom"/>
            <w:hideMark/>
          </w:tcPr>
          <w:p w14:paraId="5D4E9808" w14:textId="77777777" w:rsidR="007332DD" w:rsidRPr="007332DD" w:rsidRDefault="007332DD" w:rsidP="007332DD">
            <w:pPr>
              <w:spacing w:after="0" w:line="240" w:lineRule="auto"/>
              <w:rPr>
                <w:rFonts w:ascii="Calibri" w:eastAsia="Times New Roman" w:hAnsi="Calibri" w:cs="Calibri"/>
                <w:i/>
                <w:iCs/>
                <w:color w:val="000000"/>
                <w:sz w:val="20"/>
                <w:szCs w:val="20"/>
                <w:lang w:eastAsia="nl-NL"/>
              </w:rPr>
            </w:pPr>
          </w:p>
        </w:tc>
        <w:tc>
          <w:tcPr>
            <w:tcW w:w="940" w:type="dxa"/>
            <w:tcBorders>
              <w:top w:val="nil"/>
              <w:left w:val="nil"/>
              <w:bottom w:val="single" w:sz="4" w:space="0" w:color="auto"/>
              <w:right w:val="nil"/>
            </w:tcBorders>
            <w:shd w:val="clear" w:color="auto" w:fill="auto"/>
            <w:noWrap/>
            <w:vAlign w:val="bottom"/>
            <w:hideMark/>
          </w:tcPr>
          <w:p w14:paraId="2B2B45A5"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single" w:sz="4" w:space="0" w:color="auto"/>
              <w:right w:val="nil"/>
            </w:tcBorders>
            <w:shd w:val="clear" w:color="auto" w:fill="auto"/>
            <w:noWrap/>
            <w:vAlign w:val="bottom"/>
            <w:hideMark/>
          </w:tcPr>
          <w:p w14:paraId="361BA382"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5D5C8086"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r>
      <w:tr w:rsidR="007332DD" w:rsidRPr="007332DD" w14:paraId="61B5A4FD" w14:textId="77777777" w:rsidTr="007332DD">
        <w:trPr>
          <w:trHeight w:val="288"/>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A600E" w14:textId="77777777" w:rsidR="007332DD" w:rsidRPr="007332DD" w:rsidRDefault="007332DD" w:rsidP="007332DD">
            <w:pPr>
              <w:spacing w:after="0" w:line="240" w:lineRule="auto"/>
              <w:rPr>
                <w:rFonts w:ascii="Calibri" w:eastAsia="Times New Roman" w:hAnsi="Calibri" w:cs="Calibri"/>
                <w:i/>
                <w:iCs/>
                <w:color w:val="000000"/>
                <w:sz w:val="20"/>
                <w:szCs w:val="20"/>
                <w:lang w:eastAsia="nl-NL"/>
              </w:rPr>
            </w:pPr>
            <w:r w:rsidRPr="007332DD">
              <w:rPr>
                <w:rFonts w:ascii="Calibri" w:eastAsia="Times New Roman" w:hAnsi="Calibri" w:cs="Calibri"/>
                <w:i/>
                <w:iCs/>
                <w:color w:val="000000"/>
                <w:sz w:val="20"/>
                <w:szCs w:val="20"/>
                <w:lang w:eastAsia="nl-NL"/>
              </w:rPr>
              <w:t>inschrijver A</w:t>
            </w:r>
          </w:p>
        </w:tc>
        <w:tc>
          <w:tcPr>
            <w:tcW w:w="3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400B5" w14:textId="77777777" w:rsidR="007332DD" w:rsidRPr="007332DD" w:rsidRDefault="007332DD" w:rsidP="007332DD">
            <w:pPr>
              <w:spacing w:after="0" w:line="240" w:lineRule="auto"/>
              <w:jc w:val="right"/>
              <w:rPr>
                <w:rFonts w:ascii="Calibri" w:eastAsia="Times New Roman" w:hAnsi="Calibri" w:cs="Calibri"/>
                <w:color w:val="000000"/>
                <w:lang w:eastAsia="nl-NL"/>
              </w:rPr>
            </w:pPr>
            <w:r w:rsidRPr="007332DD">
              <w:rPr>
                <w:rFonts w:ascii="Calibri" w:eastAsia="Times New Roman" w:hAnsi="Calibri" w:cs="Calibri"/>
                <w:color w:val="000000"/>
                <w:lang w:eastAsia="nl-NL"/>
              </w:rPr>
              <w:t>€ 2.000.000,00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BF0E7" w14:textId="77777777" w:rsidR="007332DD" w:rsidRPr="007332DD" w:rsidRDefault="007332DD" w:rsidP="007332DD">
            <w:pPr>
              <w:spacing w:after="0" w:line="240" w:lineRule="auto"/>
              <w:jc w:val="right"/>
              <w:rPr>
                <w:rFonts w:ascii="Calibri" w:eastAsia="Times New Roman" w:hAnsi="Calibri" w:cs="Calibri"/>
                <w:color w:val="000000"/>
                <w:lang w:eastAsia="nl-NL"/>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59CE5" w14:textId="77777777" w:rsidR="007332DD" w:rsidRPr="007332DD" w:rsidRDefault="007332DD" w:rsidP="007332DD">
            <w:pPr>
              <w:spacing w:after="0" w:line="240" w:lineRule="auto"/>
              <w:jc w:val="right"/>
              <w:rPr>
                <w:rFonts w:ascii="Calibri" w:eastAsia="Times New Roman" w:hAnsi="Calibri" w:cs="Calibri"/>
                <w:color w:val="000000"/>
                <w:lang w:eastAsia="nl-NL"/>
              </w:rPr>
            </w:pPr>
            <w:r w:rsidRPr="007332DD">
              <w:rPr>
                <w:rFonts w:ascii="Calibri" w:eastAsia="Times New Roman" w:hAnsi="Calibri" w:cs="Calibri"/>
                <w:color w:val="000000"/>
                <w:lang w:eastAsia="nl-NL"/>
              </w:rPr>
              <w:t>28</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0C1E7" w14:textId="77777777" w:rsidR="007332DD" w:rsidRPr="007332DD" w:rsidRDefault="007332DD" w:rsidP="007332DD">
            <w:pPr>
              <w:spacing w:after="0" w:line="240" w:lineRule="auto"/>
              <w:jc w:val="right"/>
              <w:rPr>
                <w:rFonts w:ascii="Calibri" w:eastAsia="Times New Roman" w:hAnsi="Calibri" w:cs="Calibri"/>
                <w:color w:val="000000"/>
                <w:lang w:eastAsia="nl-NL"/>
              </w:rPr>
            </w:pPr>
          </w:p>
        </w:tc>
        <w:tc>
          <w:tcPr>
            <w:tcW w:w="940" w:type="dxa"/>
            <w:tcBorders>
              <w:top w:val="nil"/>
              <w:left w:val="single" w:sz="4" w:space="0" w:color="auto"/>
              <w:bottom w:val="nil"/>
              <w:right w:val="nil"/>
            </w:tcBorders>
            <w:shd w:val="clear" w:color="auto" w:fill="auto"/>
            <w:noWrap/>
            <w:vAlign w:val="bottom"/>
            <w:hideMark/>
          </w:tcPr>
          <w:p w14:paraId="326B840D"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r>
      <w:tr w:rsidR="007332DD" w:rsidRPr="007332DD" w14:paraId="54033F68" w14:textId="77777777" w:rsidTr="007332DD">
        <w:trPr>
          <w:trHeight w:val="288"/>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75594" w14:textId="77777777" w:rsidR="007332DD" w:rsidRPr="007332DD" w:rsidRDefault="007332DD" w:rsidP="007332DD">
            <w:pPr>
              <w:spacing w:after="0" w:line="240" w:lineRule="auto"/>
              <w:rPr>
                <w:rFonts w:ascii="Calibri" w:eastAsia="Times New Roman" w:hAnsi="Calibri" w:cs="Calibri"/>
                <w:i/>
                <w:iCs/>
                <w:color w:val="000000"/>
                <w:sz w:val="20"/>
                <w:szCs w:val="20"/>
                <w:lang w:eastAsia="nl-NL"/>
              </w:rPr>
            </w:pPr>
            <w:r w:rsidRPr="007332DD">
              <w:rPr>
                <w:rFonts w:ascii="Calibri" w:eastAsia="Times New Roman" w:hAnsi="Calibri" w:cs="Calibri"/>
                <w:i/>
                <w:iCs/>
                <w:color w:val="000000"/>
                <w:sz w:val="20"/>
                <w:szCs w:val="20"/>
                <w:lang w:eastAsia="nl-NL"/>
              </w:rPr>
              <w:t>inschrijver B</w:t>
            </w:r>
          </w:p>
        </w:tc>
        <w:tc>
          <w:tcPr>
            <w:tcW w:w="3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AD62C" w14:textId="77777777" w:rsidR="007332DD" w:rsidRPr="007332DD" w:rsidRDefault="007332DD" w:rsidP="007332DD">
            <w:pPr>
              <w:spacing w:after="0" w:line="240" w:lineRule="auto"/>
              <w:jc w:val="right"/>
              <w:rPr>
                <w:rFonts w:ascii="Calibri" w:eastAsia="Times New Roman" w:hAnsi="Calibri" w:cs="Calibri"/>
                <w:color w:val="000000"/>
                <w:lang w:eastAsia="nl-NL"/>
              </w:rPr>
            </w:pPr>
            <w:r w:rsidRPr="007332DD">
              <w:rPr>
                <w:rFonts w:ascii="Calibri" w:eastAsia="Times New Roman" w:hAnsi="Calibri" w:cs="Calibri"/>
                <w:color w:val="000000"/>
                <w:lang w:eastAsia="nl-NL"/>
              </w:rPr>
              <w:t>€ 2.800.000,00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733CB" w14:textId="77777777" w:rsidR="007332DD" w:rsidRPr="007332DD" w:rsidRDefault="007332DD" w:rsidP="007332DD">
            <w:pPr>
              <w:spacing w:after="0" w:line="240" w:lineRule="auto"/>
              <w:jc w:val="right"/>
              <w:rPr>
                <w:rFonts w:ascii="Calibri" w:eastAsia="Times New Roman" w:hAnsi="Calibri" w:cs="Calibri"/>
                <w:color w:val="000000"/>
                <w:lang w:eastAsia="nl-NL"/>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ADC78" w14:textId="77777777" w:rsidR="007332DD" w:rsidRPr="007332DD" w:rsidRDefault="007332DD" w:rsidP="007332DD">
            <w:pPr>
              <w:spacing w:after="0" w:line="240" w:lineRule="auto"/>
              <w:jc w:val="right"/>
              <w:rPr>
                <w:rFonts w:ascii="Calibri" w:eastAsia="Times New Roman" w:hAnsi="Calibri" w:cs="Calibri"/>
                <w:color w:val="000000"/>
                <w:lang w:eastAsia="nl-NL"/>
              </w:rPr>
            </w:pPr>
            <w:r w:rsidRPr="007332DD">
              <w:rPr>
                <w:rFonts w:ascii="Calibri" w:eastAsia="Times New Roman" w:hAnsi="Calibri" w:cs="Calibri"/>
                <w:color w:val="000000"/>
                <w:lang w:eastAsia="nl-NL"/>
              </w:rPr>
              <w:t>13</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8CCD3" w14:textId="77777777" w:rsidR="007332DD" w:rsidRPr="007332DD" w:rsidRDefault="007332DD" w:rsidP="007332DD">
            <w:pPr>
              <w:spacing w:after="0" w:line="240" w:lineRule="auto"/>
              <w:jc w:val="right"/>
              <w:rPr>
                <w:rFonts w:ascii="Calibri" w:eastAsia="Times New Roman" w:hAnsi="Calibri" w:cs="Calibri"/>
                <w:color w:val="000000"/>
                <w:lang w:eastAsia="nl-NL"/>
              </w:rPr>
            </w:pPr>
          </w:p>
        </w:tc>
        <w:tc>
          <w:tcPr>
            <w:tcW w:w="940" w:type="dxa"/>
            <w:tcBorders>
              <w:top w:val="nil"/>
              <w:left w:val="single" w:sz="4" w:space="0" w:color="auto"/>
              <w:bottom w:val="nil"/>
              <w:right w:val="nil"/>
            </w:tcBorders>
            <w:shd w:val="clear" w:color="auto" w:fill="auto"/>
            <w:noWrap/>
            <w:vAlign w:val="bottom"/>
            <w:hideMark/>
          </w:tcPr>
          <w:p w14:paraId="40067D57"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r>
      <w:tr w:rsidR="007332DD" w:rsidRPr="007332DD" w14:paraId="3925239A" w14:textId="77777777" w:rsidTr="007332DD">
        <w:trPr>
          <w:trHeight w:val="288"/>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45997" w14:textId="77777777" w:rsidR="007332DD" w:rsidRPr="007332DD" w:rsidRDefault="007332DD" w:rsidP="007332DD">
            <w:pPr>
              <w:spacing w:after="0" w:line="240" w:lineRule="auto"/>
              <w:rPr>
                <w:rFonts w:ascii="Calibri" w:eastAsia="Times New Roman" w:hAnsi="Calibri" w:cs="Calibri"/>
                <w:i/>
                <w:iCs/>
                <w:color w:val="000000"/>
                <w:sz w:val="20"/>
                <w:szCs w:val="20"/>
                <w:lang w:eastAsia="nl-NL"/>
              </w:rPr>
            </w:pPr>
            <w:r w:rsidRPr="007332DD">
              <w:rPr>
                <w:rFonts w:ascii="Calibri" w:eastAsia="Times New Roman" w:hAnsi="Calibri" w:cs="Calibri"/>
                <w:i/>
                <w:iCs/>
                <w:color w:val="000000"/>
                <w:sz w:val="20"/>
                <w:szCs w:val="20"/>
                <w:lang w:eastAsia="nl-NL"/>
              </w:rPr>
              <w:t>inschrijver C</w:t>
            </w:r>
          </w:p>
        </w:tc>
        <w:tc>
          <w:tcPr>
            <w:tcW w:w="3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DC369" w14:textId="77777777" w:rsidR="007332DD" w:rsidRPr="007332DD" w:rsidRDefault="007332DD" w:rsidP="007332DD">
            <w:pPr>
              <w:spacing w:after="0" w:line="240" w:lineRule="auto"/>
              <w:jc w:val="right"/>
              <w:rPr>
                <w:rFonts w:ascii="Calibri" w:eastAsia="Times New Roman" w:hAnsi="Calibri" w:cs="Calibri"/>
                <w:color w:val="000000"/>
                <w:lang w:eastAsia="nl-NL"/>
              </w:rPr>
            </w:pPr>
            <w:r w:rsidRPr="007332DD">
              <w:rPr>
                <w:rFonts w:ascii="Calibri" w:eastAsia="Times New Roman" w:hAnsi="Calibri" w:cs="Calibri"/>
                <w:color w:val="000000"/>
                <w:lang w:eastAsia="nl-NL"/>
              </w:rPr>
              <w:t>€ 1.900.000,00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E468C" w14:textId="77777777" w:rsidR="007332DD" w:rsidRPr="007332DD" w:rsidRDefault="007332DD" w:rsidP="007332DD">
            <w:pPr>
              <w:spacing w:after="0" w:line="240" w:lineRule="auto"/>
              <w:rPr>
                <w:rFonts w:ascii="Calibri" w:eastAsia="Times New Roman" w:hAnsi="Calibri" w:cs="Calibri"/>
                <w:color w:val="000000"/>
                <w:lang w:eastAsia="nl-NL"/>
              </w:rPr>
            </w:pPr>
            <w:r w:rsidRPr="007332DD">
              <w:rPr>
                <w:rFonts w:ascii="Calibri" w:eastAsia="Times New Roman" w:hAnsi="Calibri" w:cs="Calibri"/>
                <w:color w:val="000000"/>
                <w:lang w:eastAsia="nl-NL"/>
              </w:rPr>
              <w:t>LP</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53391" w14:textId="77777777" w:rsidR="007332DD" w:rsidRPr="007332DD" w:rsidRDefault="007332DD" w:rsidP="007332DD">
            <w:pPr>
              <w:spacing w:after="0" w:line="240" w:lineRule="auto"/>
              <w:jc w:val="right"/>
              <w:rPr>
                <w:rFonts w:ascii="Calibri" w:eastAsia="Times New Roman" w:hAnsi="Calibri" w:cs="Calibri"/>
                <w:color w:val="000000"/>
                <w:lang w:eastAsia="nl-NL"/>
              </w:rPr>
            </w:pPr>
            <w:r w:rsidRPr="007332DD">
              <w:rPr>
                <w:rFonts w:ascii="Calibri" w:eastAsia="Times New Roman" w:hAnsi="Calibri" w:cs="Calibri"/>
                <w:color w:val="000000"/>
                <w:lang w:eastAsia="nl-NL"/>
              </w:rPr>
              <w:t>30</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7F8D3" w14:textId="77777777" w:rsidR="007332DD" w:rsidRPr="007332DD" w:rsidRDefault="007332DD" w:rsidP="007332DD">
            <w:pPr>
              <w:spacing w:after="0" w:line="240" w:lineRule="auto"/>
              <w:jc w:val="right"/>
              <w:rPr>
                <w:rFonts w:ascii="Calibri" w:eastAsia="Times New Roman" w:hAnsi="Calibri" w:cs="Calibri"/>
                <w:color w:val="000000"/>
                <w:lang w:eastAsia="nl-NL"/>
              </w:rPr>
            </w:pPr>
          </w:p>
        </w:tc>
        <w:tc>
          <w:tcPr>
            <w:tcW w:w="940" w:type="dxa"/>
            <w:tcBorders>
              <w:top w:val="nil"/>
              <w:left w:val="single" w:sz="4" w:space="0" w:color="auto"/>
              <w:bottom w:val="nil"/>
              <w:right w:val="nil"/>
            </w:tcBorders>
            <w:shd w:val="clear" w:color="auto" w:fill="auto"/>
            <w:noWrap/>
            <w:vAlign w:val="bottom"/>
            <w:hideMark/>
          </w:tcPr>
          <w:p w14:paraId="75618480"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r>
      <w:tr w:rsidR="007332DD" w:rsidRPr="007332DD" w14:paraId="2D826D68" w14:textId="77777777" w:rsidTr="007332DD">
        <w:trPr>
          <w:trHeight w:val="288"/>
        </w:trPr>
        <w:tc>
          <w:tcPr>
            <w:tcW w:w="2450" w:type="dxa"/>
            <w:tcBorders>
              <w:top w:val="single" w:sz="4" w:space="0" w:color="auto"/>
              <w:left w:val="nil"/>
              <w:bottom w:val="nil"/>
              <w:right w:val="nil"/>
            </w:tcBorders>
            <w:shd w:val="clear" w:color="auto" w:fill="auto"/>
            <w:noWrap/>
            <w:vAlign w:val="bottom"/>
            <w:hideMark/>
          </w:tcPr>
          <w:p w14:paraId="60D3A395"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3270" w:type="dxa"/>
            <w:tcBorders>
              <w:top w:val="single" w:sz="4" w:space="0" w:color="auto"/>
              <w:left w:val="nil"/>
              <w:bottom w:val="nil"/>
              <w:right w:val="nil"/>
            </w:tcBorders>
            <w:shd w:val="clear" w:color="auto" w:fill="auto"/>
            <w:noWrap/>
            <w:vAlign w:val="bottom"/>
            <w:hideMark/>
          </w:tcPr>
          <w:p w14:paraId="323786C3"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940" w:type="dxa"/>
            <w:tcBorders>
              <w:top w:val="single" w:sz="4" w:space="0" w:color="auto"/>
              <w:left w:val="nil"/>
              <w:bottom w:val="nil"/>
              <w:right w:val="nil"/>
            </w:tcBorders>
            <w:shd w:val="clear" w:color="auto" w:fill="auto"/>
            <w:noWrap/>
            <w:vAlign w:val="bottom"/>
            <w:hideMark/>
          </w:tcPr>
          <w:p w14:paraId="1739B571"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940" w:type="dxa"/>
            <w:tcBorders>
              <w:top w:val="single" w:sz="4" w:space="0" w:color="auto"/>
              <w:left w:val="nil"/>
              <w:bottom w:val="nil"/>
              <w:right w:val="nil"/>
            </w:tcBorders>
            <w:shd w:val="clear" w:color="auto" w:fill="auto"/>
            <w:noWrap/>
            <w:vAlign w:val="bottom"/>
            <w:hideMark/>
          </w:tcPr>
          <w:p w14:paraId="1BF27849"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940" w:type="dxa"/>
            <w:tcBorders>
              <w:top w:val="single" w:sz="4" w:space="0" w:color="auto"/>
              <w:left w:val="nil"/>
              <w:bottom w:val="nil"/>
              <w:right w:val="nil"/>
            </w:tcBorders>
            <w:shd w:val="clear" w:color="auto" w:fill="auto"/>
            <w:noWrap/>
            <w:vAlign w:val="bottom"/>
            <w:hideMark/>
          </w:tcPr>
          <w:p w14:paraId="3FFD3FE4"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c>
          <w:tcPr>
            <w:tcW w:w="940" w:type="dxa"/>
            <w:tcBorders>
              <w:top w:val="nil"/>
              <w:left w:val="nil"/>
              <w:bottom w:val="nil"/>
              <w:right w:val="nil"/>
            </w:tcBorders>
            <w:shd w:val="clear" w:color="auto" w:fill="auto"/>
            <w:noWrap/>
            <w:vAlign w:val="bottom"/>
            <w:hideMark/>
          </w:tcPr>
          <w:p w14:paraId="7188F095" w14:textId="77777777" w:rsidR="007332DD" w:rsidRPr="007332DD" w:rsidRDefault="007332DD" w:rsidP="007332DD">
            <w:pPr>
              <w:spacing w:after="0" w:line="240" w:lineRule="auto"/>
              <w:rPr>
                <w:rFonts w:ascii="Times New Roman" w:eastAsia="Times New Roman" w:hAnsi="Times New Roman" w:cs="Times New Roman"/>
                <w:sz w:val="20"/>
                <w:szCs w:val="20"/>
                <w:lang w:eastAsia="nl-NL"/>
              </w:rPr>
            </w:pPr>
          </w:p>
        </w:tc>
      </w:tr>
    </w:tbl>
    <w:p w14:paraId="61D628AB" w14:textId="77777777" w:rsidR="007332DD" w:rsidRPr="00047425" w:rsidRDefault="007332DD" w:rsidP="007332DD">
      <w:pPr>
        <w:rPr>
          <w:sz w:val="20"/>
          <w:szCs w:val="20"/>
        </w:rPr>
      </w:pPr>
    </w:p>
    <w:sectPr w:rsidR="007332DD" w:rsidRPr="00047425" w:rsidSect="007332DD">
      <w:headerReference w:type="default" r:id="rId8"/>
      <w:footerReference w:type="default" r:id="rId9"/>
      <w:pgSz w:w="16838" w:h="11906" w:orient="landscape"/>
      <w:pgMar w:top="2836"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40188" w14:textId="77777777" w:rsidR="00057898" w:rsidRDefault="00057898" w:rsidP="0091401E">
      <w:pPr>
        <w:spacing w:after="0" w:line="240" w:lineRule="auto"/>
      </w:pPr>
      <w:r>
        <w:separator/>
      </w:r>
    </w:p>
  </w:endnote>
  <w:endnote w:type="continuationSeparator" w:id="0">
    <w:p w14:paraId="0E86CFB3" w14:textId="77777777" w:rsidR="00057898" w:rsidRDefault="00057898" w:rsidP="009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Hoofdtekst)">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9790053"/>
      <w:docPartObj>
        <w:docPartGallery w:val="Page Numbers (Bottom of Page)"/>
        <w:docPartUnique/>
      </w:docPartObj>
    </w:sdtPr>
    <w:sdtEndPr>
      <w:rPr>
        <w:sz w:val="16"/>
        <w:szCs w:val="16"/>
      </w:rPr>
    </w:sdtEndPr>
    <w:sdtContent>
      <w:p w14:paraId="1060D093" w14:textId="65FA3935" w:rsidR="009815C6" w:rsidRPr="009815C6" w:rsidRDefault="009815C6">
        <w:pPr>
          <w:pStyle w:val="Voettekst"/>
          <w:jc w:val="right"/>
          <w:rPr>
            <w:sz w:val="16"/>
            <w:szCs w:val="16"/>
          </w:rPr>
        </w:pPr>
        <w:r w:rsidRPr="009815C6">
          <w:rPr>
            <w:sz w:val="16"/>
            <w:szCs w:val="16"/>
          </w:rPr>
          <w:fldChar w:fldCharType="begin"/>
        </w:r>
        <w:r w:rsidRPr="009815C6">
          <w:rPr>
            <w:sz w:val="16"/>
            <w:szCs w:val="16"/>
          </w:rPr>
          <w:instrText>PAGE   \* MERGEFORMAT</w:instrText>
        </w:r>
        <w:r w:rsidRPr="009815C6">
          <w:rPr>
            <w:sz w:val="16"/>
            <w:szCs w:val="16"/>
          </w:rPr>
          <w:fldChar w:fldCharType="separate"/>
        </w:r>
        <w:r w:rsidRPr="009815C6">
          <w:rPr>
            <w:sz w:val="16"/>
            <w:szCs w:val="16"/>
          </w:rPr>
          <w:t>2</w:t>
        </w:r>
        <w:r w:rsidRPr="009815C6">
          <w:rPr>
            <w:sz w:val="16"/>
            <w:szCs w:val="16"/>
          </w:rPr>
          <w:fldChar w:fldCharType="end"/>
        </w:r>
      </w:p>
    </w:sdtContent>
  </w:sdt>
  <w:p w14:paraId="23689E18" w14:textId="77777777" w:rsidR="009815C6" w:rsidRDefault="009815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B7941" w14:textId="77777777" w:rsidR="00057898" w:rsidRDefault="00057898" w:rsidP="0091401E">
      <w:pPr>
        <w:spacing w:after="0" w:line="240" w:lineRule="auto"/>
      </w:pPr>
      <w:r>
        <w:separator/>
      </w:r>
    </w:p>
  </w:footnote>
  <w:footnote w:type="continuationSeparator" w:id="0">
    <w:p w14:paraId="456B1F55" w14:textId="77777777" w:rsidR="00057898" w:rsidRDefault="00057898" w:rsidP="0091401E">
      <w:pPr>
        <w:spacing w:after="0" w:line="240" w:lineRule="auto"/>
      </w:pPr>
      <w:r>
        <w:continuationSeparator/>
      </w:r>
    </w:p>
  </w:footnote>
  <w:footnote w:id="1">
    <w:p w14:paraId="5ADADCE4" w14:textId="338E3C35" w:rsidR="00F64A65" w:rsidRDefault="00F64A65">
      <w:pPr>
        <w:pStyle w:val="Voetnoottekst"/>
      </w:pPr>
      <w:r>
        <w:rPr>
          <w:rStyle w:val="Voetnootmarkering"/>
        </w:rPr>
        <w:footnoteRef/>
      </w:r>
      <w:r>
        <w:t xml:space="preserve"> Dit wordt aangepast in de documenten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A76C9" w14:textId="61D19407" w:rsidR="0091401E" w:rsidRDefault="0091401E">
    <w:pPr>
      <w:pStyle w:val="Koptekst"/>
    </w:pPr>
    <w:r w:rsidRPr="00C000C7">
      <w:rPr>
        <w:rFonts w:asciiTheme="majorHAnsi" w:eastAsia="Times New Roman" w:hAnsiTheme="majorHAnsi" w:cstheme="majorHAnsi"/>
        <w:noProof/>
        <w:sz w:val="21"/>
        <w:szCs w:val="21"/>
        <w:lang w:eastAsia="en-GB"/>
      </w:rPr>
      <w:drawing>
        <wp:inline distT="0" distB="0" distL="0" distR="0" wp14:anchorId="4028C4C2" wp14:editId="771115BF">
          <wp:extent cx="1724660" cy="1180465"/>
          <wp:effectExtent l="0" t="0" r="2540" b="635"/>
          <wp:docPr id="175437476"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1180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75F1F"/>
    <w:multiLevelType w:val="hybridMultilevel"/>
    <w:tmpl w:val="53EE48A0"/>
    <w:lvl w:ilvl="0" w:tplc="04130001">
      <w:start w:val="1"/>
      <w:numFmt w:val="bullet"/>
      <w:lvlText w:val=""/>
      <w:lvlJc w:val="left"/>
      <w:pPr>
        <w:ind w:left="2520" w:hanging="360"/>
      </w:pPr>
      <w:rPr>
        <w:rFonts w:ascii="Symbol" w:hAnsi="Symbol"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 w15:restartNumberingAfterBreak="0">
    <w:nsid w:val="3A087A75"/>
    <w:multiLevelType w:val="hybridMultilevel"/>
    <w:tmpl w:val="C7908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242151"/>
    <w:multiLevelType w:val="hybridMultilevel"/>
    <w:tmpl w:val="BDF4C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2A52DC"/>
    <w:multiLevelType w:val="hybridMultilevel"/>
    <w:tmpl w:val="FC50216C"/>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num w:numId="1" w16cid:durableId="1042946180">
    <w:abstractNumId w:val="0"/>
  </w:num>
  <w:num w:numId="2" w16cid:durableId="1592623060">
    <w:abstractNumId w:val="1"/>
  </w:num>
  <w:num w:numId="3" w16cid:durableId="2001225514">
    <w:abstractNumId w:val="3"/>
  </w:num>
  <w:num w:numId="4" w16cid:durableId="1977370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1E"/>
    <w:rsid w:val="00007996"/>
    <w:rsid w:val="00047425"/>
    <w:rsid w:val="00057898"/>
    <w:rsid w:val="00090D6C"/>
    <w:rsid w:val="00117CFA"/>
    <w:rsid w:val="00164160"/>
    <w:rsid w:val="00190D96"/>
    <w:rsid w:val="001A7640"/>
    <w:rsid w:val="00205B7F"/>
    <w:rsid w:val="002924B8"/>
    <w:rsid w:val="002C4644"/>
    <w:rsid w:val="002E3285"/>
    <w:rsid w:val="00317434"/>
    <w:rsid w:val="00361FA2"/>
    <w:rsid w:val="00434CF5"/>
    <w:rsid w:val="004F44A4"/>
    <w:rsid w:val="005E3F88"/>
    <w:rsid w:val="005E5E0B"/>
    <w:rsid w:val="006C0052"/>
    <w:rsid w:val="007332DD"/>
    <w:rsid w:val="0091401E"/>
    <w:rsid w:val="0095486F"/>
    <w:rsid w:val="009607E7"/>
    <w:rsid w:val="009815C6"/>
    <w:rsid w:val="009C680B"/>
    <w:rsid w:val="00B475D4"/>
    <w:rsid w:val="00B509C3"/>
    <w:rsid w:val="00C25C2A"/>
    <w:rsid w:val="00CB50D8"/>
    <w:rsid w:val="00D844FC"/>
    <w:rsid w:val="00E1625B"/>
    <w:rsid w:val="00EB2368"/>
    <w:rsid w:val="00F53559"/>
    <w:rsid w:val="00F64A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59F"/>
  <w15:chartTrackingRefBased/>
  <w15:docId w15:val="{11D2F44B-DDDB-47F0-9F99-0C062C57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4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01E"/>
  </w:style>
  <w:style w:type="paragraph" w:styleId="Voettekst">
    <w:name w:val="footer"/>
    <w:basedOn w:val="Standaard"/>
    <w:link w:val="VoettekstChar"/>
    <w:uiPriority w:val="99"/>
    <w:unhideWhenUsed/>
    <w:rsid w:val="00914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01E"/>
  </w:style>
  <w:style w:type="table" w:styleId="Tabelraster">
    <w:name w:val="Table Grid"/>
    <w:basedOn w:val="Standaardtabel"/>
    <w:uiPriority w:val="59"/>
    <w:rsid w:val="0091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1401E"/>
    <w:pPr>
      <w:spacing w:after="0" w:line="240" w:lineRule="auto"/>
      <w:contextualSpacing/>
    </w:pPr>
    <w:rPr>
      <w:rFonts w:ascii="Meiryo" w:eastAsia="Meiryo" w:hAnsi="Meiryo" w:cs="Meiryo"/>
      <w:color w:val="273273"/>
      <w:sz w:val="20"/>
    </w:rPr>
  </w:style>
  <w:style w:type="paragraph" w:styleId="Ballontekst">
    <w:name w:val="Balloon Text"/>
    <w:basedOn w:val="Standaard"/>
    <w:link w:val="BallontekstChar"/>
    <w:uiPriority w:val="99"/>
    <w:semiHidden/>
    <w:unhideWhenUsed/>
    <w:rsid w:val="009140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401E"/>
    <w:rPr>
      <w:rFonts w:ascii="Segoe UI" w:hAnsi="Segoe UI" w:cs="Segoe UI"/>
      <w:sz w:val="18"/>
      <w:szCs w:val="18"/>
    </w:rPr>
  </w:style>
  <w:style w:type="character" w:styleId="Nadruk">
    <w:name w:val="Emphasis"/>
    <w:qFormat/>
    <w:rsid w:val="00317434"/>
    <w:rPr>
      <w:i/>
      <w:iCs/>
    </w:rPr>
  </w:style>
  <w:style w:type="paragraph" w:styleId="Voetnoottekst">
    <w:name w:val="footnote text"/>
    <w:basedOn w:val="Standaard"/>
    <w:link w:val="VoetnoottekstChar"/>
    <w:uiPriority w:val="99"/>
    <w:semiHidden/>
    <w:unhideWhenUsed/>
    <w:rsid w:val="00F64A6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64A65"/>
    <w:rPr>
      <w:sz w:val="20"/>
      <w:szCs w:val="20"/>
    </w:rPr>
  </w:style>
  <w:style w:type="character" w:styleId="Voetnootmarkering">
    <w:name w:val="footnote reference"/>
    <w:basedOn w:val="Standaardalinea-lettertype"/>
    <w:uiPriority w:val="99"/>
    <w:semiHidden/>
    <w:unhideWhenUsed/>
    <w:rsid w:val="00F64A65"/>
    <w:rPr>
      <w:vertAlign w:val="superscript"/>
    </w:rPr>
  </w:style>
  <w:style w:type="paragraph" w:customStyle="1" w:styleId="ColorfulShading-Accent1">
    <w:name w:val="Colorful Shading - Accent 1"/>
    <w:hidden/>
    <w:uiPriority w:val="71"/>
    <w:rsid w:val="007332DD"/>
    <w:pPr>
      <w:spacing w:after="0" w:line="240" w:lineRule="auto"/>
    </w:pPr>
    <w:rPr>
      <w:rFonts w:ascii="Arial" w:eastAsia="Times New Roman"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333029">
      <w:bodyDiv w:val="1"/>
      <w:marLeft w:val="0"/>
      <w:marRight w:val="0"/>
      <w:marTop w:val="0"/>
      <w:marBottom w:val="0"/>
      <w:divBdr>
        <w:top w:val="none" w:sz="0" w:space="0" w:color="auto"/>
        <w:left w:val="none" w:sz="0" w:space="0" w:color="auto"/>
        <w:bottom w:val="none" w:sz="0" w:space="0" w:color="auto"/>
        <w:right w:val="none" w:sz="0" w:space="0" w:color="auto"/>
      </w:divBdr>
    </w:div>
    <w:div w:id="206197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D1B8E-9284-4389-96D3-110EB2D8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35</Pages>
  <Words>5844</Words>
  <Characters>32146</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6</cp:revision>
  <cp:lastPrinted>2024-07-12T15:35:00Z</cp:lastPrinted>
  <dcterms:created xsi:type="dcterms:W3CDTF">2024-07-12T14:50:00Z</dcterms:created>
  <dcterms:modified xsi:type="dcterms:W3CDTF">2024-07-12T15:36:00Z</dcterms:modified>
</cp:coreProperties>
</file>