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1E3" w14:textId="1AF06D4F" w:rsidR="007F1D0A" w:rsidRDefault="001A63CF">
      <w:r>
        <w:t xml:space="preserve">Oplegger bij </w:t>
      </w:r>
      <w:proofErr w:type="spellStart"/>
      <w:r>
        <w:t>Gibit</w:t>
      </w:r>
      <w:proofErr w:type="spellEnd"/>
      <w:r>
        <w:t xml:space="preserve"> 202</w:t>
      </w:r>
      <w:r w:rsidR="00356728">
        <w:t>3</w:t>
      </w:r>
    </w:p>
    <w:p w14:paraId="15E73833" w14:textId="6263B40C" w:rsidR="001A63CF" w:rsidRDefault="001A63CF"/>
    <w:tbl>
      <w:tblPr>
        <w:tblStyle w:val="Tabelraster"/>
        <w:tblW w:w="0" w:type="auto"/>
        <w:tblLook w:val="04A0" w:firstRow="1" w:lastRow="0" w:firstColumn="1" w:lastColumn="0" w:noHBand="0" w:noVBand="1"/>
      </w:tblPr>
      <w:tblGrid>
        <w:gridCol w:w="1442"/>
        <w:gridCol w:w="2948"/>
        <w:gridCol w:w="3685"/>
        <w:gridCol w:w="2693"/>
      </w:tblGrid>
      <w:tr w:rsidR="0087424A" w14:paraId="7A59D718" w14:textId="4A6655DF" w:rsidTr="00F7011F">
        <w:tc>
          <w:tcPr>
            <w:tcW w:w="1442" w:type="dxa"/>
          </w:tcPr>
          <w:p w14:paraId="2CED10C1" w14:textId="10E95056" w:rsidR="0087424A" w:rsidRDefault="0087424A">
            <w:r>
              <w:t>Artikel G2023</w:t>
            </w:r>
          </w:p>
        </w:tc>
        <w:tc>
          <w:tcPr>
            <w:tcW w:w="2948" w:type="dxa"/>
          </w:tcPr>
          <w:p w14:paraId="1DA8894B" w14:textId="280877BA" w:rsidR="0087424A" w:rsidRDefault="0087424A">
            <w:r>
              <w:t>Was</w:t>
            </w:r>
          </w:p>
        </w:tc>
        <w:tc>
          <w:tcPr>
            <w:tcW w:w="3685" w:type="dxa"/>
          </w:tcPr>
          <w:p w14:paraId="65A7B92B" w14:textId="0B59BE3A" w:rsidR="0087424A" w:rsidRDefault="0087424A">
            <w:r>
              <w:t>Wordt</w:t>
            </w:r>
          </w:p>
        </w:tc>
        <w:tc>
          <w:tcPr>
            <w:tcW w:w="2693" w:type="dxa"/>
          </w:tcPr>
          <w:p w14:paraId="6E7785ED" w14:textId="7BAC267F" w:rsidR="0087424A" w:rsidRDefault="0087424A">
            <w:r>
              <w:t>bijzonderheden</w:t>
            </w:r>
          </w:p>
        </w:tc>
      </w:tr>
      <w:tr w:rsidR="0087424A" w14:paraId="7604669D" w14:textId="5EEC4272" w:rsidTr="00F7011F">
        <w:tc>
          <w:tcPr>
            <w:tcW w:w="1442" w:type="dxa"/>
          </w:tcPr>
          <w:p w14:paraId="639DB99D" w14:textId="0009C302" w:rsidR="0087424A" w:rsidRDefault="0087424A">
            <w:r>
              <w:t>1.1</w:t>
            </w:r>
            <w:r w:rsidR="000512CA">
              <w:t>5</w:t>
            </w:r>
          </w:p>
        </w:tc>
        <w:tc>
          <w:tcPr>
            <w:tcW w:w="2948" w:type="dxa"/>
          </w:tcPr>
          <w:p w14:paraId="01861153" w14:textId="0FAEEDC6" w:rsidR="0087424A" w:rsidRDefault="0087424A" w:rsidP="003E1C1D">
            <w:r>
              <w:t xml:space="preserve">Gebruiksrecht: het recht op grond waarvan Opdrachtgever bevoegd is tot het gebruik van de ICT </w:t>
            </w:r>
          </w:p>
          <w:p w14:paraId="34E6ACA7" w14:textId="0F5345FE" w:rsidR="0087424A" w:rsidRDefault="0087424A" w:rsidP="003E1C1D">
            <w:r>
              <w:t>Prestatie binnen de kaders als gesteld in de Overeenkomst.</w:t>
            </w:r>
          </w:p>
        </w:tc>
        <w:tc>
          <w:tcPr>
            <w:tcW w:w="3685" w:type="dxa"/>
          </w:tcPr>
          <w:p w14:paraId="107A5CBC" w14:textId="4EB0D63D" w:rsidR="0087424A" w:rsidRDefault="0087424A">
            <w:r w:rsidRPr="00EE10EF">
              <w:t>Gebruiksrecht: het recht om de programmatuur die op grond van een overeenkomst ter beschikking wordt gesteld te gebruiken. Dit recht is, tenzij anders overeengekomen, beperkt tot het doel en de duur van de overeenkomst, niet exclusief, niet overdraagbaar en niet</w:t>
            </w:r>
            <w:r>
              <w:t xml:space="preserve"> </w:t>
            </w:r>
            <w:proofErr w:type="spellStart"/>
            <w:r w:rsidRPr="00BF56A4">
              <w:t>sublicentieerbaar</w:t>
            </w:r>
            <w:proofErr w:type="spellEnd"/>
            <w:r w:rsidRPr="00BF56A4">
              <w:t>.</w:t>
            </w:r>
            <w:r>
              <w:t xml:space="preserve"> </w:t>
            </w:r>
          </w:p>
        </w:tc>
        <w:tc>
          <w:tcPr>
            <w:tcW w:w="2693" w:type="dxa"/>
          </w:tcPr>
          <w:p w14:paraId="41445883" w14:textId="77777777" w:rsidR="0087424A" w:rsidRDefault="0087424A"/>
        </w:tc>
      </w:tr>
      <w:tr w:rsidR="0087424A" w14:paraId="6E01390A" w14:textId="29A98F75" w:rsidTr="00F7011F">
        <w:tc>
          <w:tcPr>
            <w:tcW w:w="1442" w:type="dxa"/>
          </w:tcPr>
          <w:p w14:paraId="21E18AC0" w14:textId="5820C3F7" w:rsidR="0087424A" w:rsidRDefault="0087424A">
            <w:r>
              <w:t>3.6</w:t>
            </w:r>
          </w:p>
        </w:tc>
        <w:tc>
          <w:tcPr>
            <w:tcW w:w="2948" w:type="dxa"/>
          </w:tcPr>
          <w:p w14:paraId="6494A903" w14:textId="77777777" w:rsidR="0087424A" w:rsidRDefault="0087424A"/>
        </w:tc>
        <w:tc>
          <w:tcPr>
            <w:tcW w:w="3685" w:type="dxa"/>
          </w:tcPr>
          <w:p w14:paraId="3624B9F2" w14:textId="30AEB6BD" w:rsidR="0087424A" w:rsidRDefault="0087424A">
            <w:r>
              <w:t xml:space="preserve">Na laatste zin toevoegen: </w:t>
            </w:r>
            <w:r w:rsidRPr="00E1722F">
              <w:t>Onder opdracht in de zin van artikel 3.6 sub 3 wordt uitsluitend verstaan een aanbod van Leverancier dat door middel van een schriftelijke opdracht van Opdrachtgever ongewijzigd is geaccepteerd.</w:t>
            </w:r>
          </w:p>
        </w:tc>
        <w:tc>
          <w:tcPr>
            <w:tcW w:w="2693" w:type="dxa"/>
          </w:tcPr>
          <w:p w14:paraId="39FE5B4C" w14:textId="77777777" w:rsidR="0087424A" w:rsidRDefault="0087424A"/>
        </w:tc>
      </w:tr>
      <w:tr w:rsidR="0087424A" w14:paraId="324FC9AC" w14:textId="7B19A095" w:rsidTr="00F7011F">
        <w:tc>
          <w:tcPr>
            <w:tcW w:w="1442" w:type="dxa"/>
          </w:tcPr>
          <w:p w14:paraId="17BF2FB0" w14:textId="741A8E4C" w:rsidR="0087424A" w:rsidRDefault="0087424A">
            <w:r>
              <w:t>4.1</w:t>
            </w:r>
          </w:p>
        </w:tc>
        <w:tc>
          <w:tcPr>
            <w:tcW w:w="2948" w:type="dxa"/>
          </w:tcPr>
          <w:p w14:paraId="1C952E8C" w14:textId="77777777" w:rsidR="0087424A" w:rsidRDefault="0087424A"/>
        </w:tc>
        <w:tc>
          <w:tcPr>
            <w:tcW w:w="3685" w:type="dxa"/>
          </w:tcPr>
          <w:p w14:paraId="22276426" w14:textId="05873166" w:rsidR="0087424A" w:rsidRDefault="0087424A">
            <w:r>
              <w:t xml:space="preserve">Na de laatste zin toevoegen: </w:t>
            </w:r>
            <w:proofErr w:type="gramStart"/>
            <w:r w:rsidRPr="00AC074A">
              <w:t>Indien</w:t>
            </w:r>
            <w:proofErr w:type="gramEnd"/>
            <w:r w:rsidRPr="00AC074A">
              <w:t xml:space="preserve"> een termijn schriftelijk is overeengekomen en deze niet wordt gehaald zal eerst een ingebrekestelling aan Leverancier worden verzonden waarin een redelijke termijn tot nakoming van de verplichting wordt opgenomen</w:t>
            </w:r>
            <w:r>
              <w:t>.</w:t>
            </w:r>
          </w:p>
        </w:tc>
        <w:tc>
          <w:tcPr>
            <w:tcW w:w="2693" w:type="dxa"/>
          </w:tcPr>
          <w:p w14:paraId="5C39D93C" w14:textId="77777777" w:rsidR="0087424A" w:rsidRDefault="0087424A"/>
        </w:tc>
      </w:tr>
      <w:tr w:rsidR="0087424A" w14:paraId="61D400BA" w14:textId="5C6528C8" w:rsidTr="00F7011F">
        <w:tc>
          <w:tcPr>
            <w:tcW w:w="1442" w:type="dxa"/>
          </w:tcPr>
          <w:p w14:paraId="31849B3E" w14:textId="55CEB203" w:rsidR="0087424A" w:rsidRDefault="0087424A">
            <w:r>
              <w:t>4.2 i)</w:t>
            </w:r>
          </w:p>
        </w:tc>
        <w:tc>
          <w:tcPr>
            <w:tcW w:w="2948" w:type="dxa"/>
          </w:tcPr>
          <w:p w14:paraId="4744662D" w14:textId="77777777" w:rsidR="0087424A" w:rsidRDefault="0087424A"/>
        </w:tc>
        <w:tc>
          <w:tcPr>
            <w:tcW w:w="3685" w:type="dxa"/>
          </w:tcPr>
          <w:p w14:paraId="26109F38" w14:textId="7D4DA404" w:rsidR="0087424A" w:rsidRDefault="0087424A">
            <w:r>
              <w:t xml:space="preserve">Na de laatste zin toevoegen: </w:t>
            </w:r>
            <w:r w:rsidRPr="00A557D9">
              <w:t xml:space="preserve">Overeengekomen termijnen voor levering en/of andere prestaties gelden niet als vast en fataal, tenzij schriftelijk anders </w:t>
            </w:r>
            <w:r w:rsidR="00943FD2">
              <w:t>o</w:t>
            </w:r>
            <w:r w:rsidRPr="00A557D9">
              <w:t xml:space="preserve">vereengekomen. </w:t>
            </w:r>
            <w:proofErr w:type="gramStart"/>
            <w:r w:rsidRPr="00A557D9">
              <w:t>Indien</w:t>
            </w:r>
            <w:proofErr w:type="gramEnd"/>
            <w:r w:rsidRPr="00A557D9">
              <w:t xml:space="preserve"> een termijn schriftelijk is overeengekomen en deze niet wordt gehaald zal eerst een ingebrekestelling aan Leverancier worden verzonden waarin een redelijke termijn tot nakoming van de verplichting wordt opgenomen</w:t>
            </w:r>
          </w:p>
        </w:tc>
        <w:tc>
          <w:tcPr>
            <w:tcW w:w="2693" w:type="dxa"/>
          </w:tcPr>
          <w:p w14:paraId="66B8FD22" w14:textId="77777777" w:rsidR="0087424A" w:rsidRDefault="0087424A"/>
        </w:tc>
      </w:tr>
      <w:tr w:rsidR="000512CA" w14:paraId="63E71A50" w14:textId="77777777" w:rsidTr="00F7011F">
        <w:tc>
          <w:tcPr>
            <w:tcW w:w="1442" w:type="dxa"/>
          </w:tcPr>
          <w:p w14:paraId="0B305B57" w14:textId="1BB32E12" w:rsidR="000512CA" w:rsidRDefault="000512CA">
            <w:r>
              <w:t>5.6</w:t>
            </w:r>
          </w:p>
        </w:tc>
        <w:tc>
          <w:tcPr>
            <w:tcW w:w="2948" w:type="dxa"/>
          </w:tcPr>
          <w:p w14:paraId="592CC410" w14:textId="77777777" w:rsidR="000512CA" w:rsidRDefault="000512CA"/>
        </w:tc>
        <w:tc>
          <w:tcPr>
            <w:tcW w:w="3685" w:type="dxa"/>
          </w:tcPr>
          <w:p w14:paraId="256A8124" w14:textId="77777777" w:rsidR="000512CA" w:rsidRDefault="000512CA"/>
        </w:tc>
        <w:tc>
          <w:tcPr>
            <w:tcW w:w="2693" w:type="dxa"/>
          </w:tcPr>
          <w:p w14:paraId="01E90811" w14:textId="63AA79B0" w:rsidR="000512CA" w:rsidRDefault="000512CA">
            <w:r>
              <w:t xml:space="preserve">Artikel is niet van toepassing </w:t>
            </w:r>
            <w:proofErr w:type="gramStart"/>
            <w:r>
              <w:t>indien</w:t>
            </w:r>
            <w:proofErr w:type="gramEnd"/>
            <w:r>
              <w:t xml:space="preserve"> er geen sprake is van eigendomsoverdracht</w:t>
            </w:r>
          </w:p>
        </w:tc>
      </w:tr>
      <w:tr w:rsidR="0087424A" w14:paraId="15B4CEE8" w14:textId="3A5A444E" w:rsidTr="00F7011F">
        <w:tc>
          <w:tcPr>
            <w:tcW w:w="1442" w:type="dxa"/>
          </w:tcPr>
          <w:p w14:paraId="3FF62AF2" w14:textId="755F84E0" w:rsidR="0087424A" w:rsidRDefault="0087424A">
            <w:r>
              <w:t>6.5</w:t>
            </w:r>
          </w:p>
        </w:tc>
        <w:tc>
          <w:tcPr>
            <w:tcW w:w="2948" w:type="dxa"/>
          </w:tcPr>
          <w:p w14:paraId="61DA588F" w14:textId="77777777" w:rsidR="0087424A" w:rsidRDefault="0087424A"/>
        </w:tc>
        <w:tc>
          <w:tcPr>
            <w:tcW w:w="3685" w:type="dxa"/>
          </w:tcPr>
          <w:p w14:paraId="10844D34" w14:textId="038F6D87" w:rsidR="0087424A" w:rsidRDefault="0087424A">
            <w:r>
              <w:t xml:space="preserve">Na laatste zin toevoegen: </w:t>
            </w:r>
            <w:r w:rsidRPr="005D6016">
              <w:t>, tenzij het niet voorzien van Leverancier het gevolg is van onjuiste</w:t>
            </w:r>
            <w:r>
              <w:t xml:space="preserve"> en/of onvolledige </w:t>
            </w:r>
            <w:r w:rsidRPr="005D6016">
              <w:t>informatie van Opdrachtgever.</w:t>
            </w:r>
          </w:p>
        </w:tc>
        <w:tc>
          <w:tcPr>
            <w:tcW w:w="2693" w:type="dxa"/>
          </w:tcPr>
          <w:p w14:paraId="3E9282E8" w14:textId="77777777" w:rsidR="0087424A" w:rsidRDefault="0087424A"/>
        </w:tc>
      </w:tr>
      <w:tr w:rsidR="0087424A" w14:paraId="3F6EA836" w14:textId="547668FC" w:rsidTr="00F7011F">
        <w:tc>
          <w:tcPr>
            <w:tcW w:w="1442" w:type="dxa"/>
          </w:tcPr>
          <w:p w14:paraId="54725ED7" w14:textId="75249A64" w:rsidR="0087424A" w:rsidRDefault="0087424A">
            <w:r>
              <w:t>7.6</w:t>
            </w:r>
          </w:p>
        </w:tc>
        <w:tc>
          <w:tcPr>
            <w:tcW w:w="2948" w:type="dxa"/>
          </w:tcPr>
          <w:p w14:paraId="42AD3FAA" w14:textId="6F00AC2C" w:rsidR="0087424A" w:rsidRDefault="0087424A">
            <w:proofErr w:type="gramStart"/>
            <w:r w:rsidRPr="000F48E4">
              <w:t>Indien</w:t>
            </w:r>
            <w:proofErr w:type="gramEnd"/>
            <w:r w:rsidRPr="000F48E4">
              <w:t xml:space="preserve"> de in artikel 6.5 bedoelde ketentest niet </w:t>
            </w:r>
            <w:r w:rsidRPr="000F48E4">
              <w:lastRenderedPageBreak/>
              <w:t>slaagt, en Leverancier aantoont dat dit niet aan hem toerekenbaar is, dan:</w:t>
            </w:r>
            <w:r>
              <w:t xml:space="preserve"> …</w:t>
            </w:r>
          </w:p>
        </w:tc>
        <w:tc>
          <w:tcPr>
            <w:tcW w:w="3685" w:type="dxa"/>
          </w:tcPr>
          <w:p w14:paraId="0B702345" w14:textId="00CD83BC" w:rsidR="0087424A" w:rsidRDefault="0087424A">
            <w:proofErr w:type="gramStart"/>
            <w:r w:rsidRPr="000F48E4">
              <w:lastRenderedPageBreak/>
              <w:t>Indien</w:t>
            </w:r>
            <w:proofErr w:type="gramEnd"/>
            <w:r w:rsidRPr="000F48E4">
              <w:t xml:space="preserve"> de in artikel 6.5 bedoelde ketentest niet slaagt, </w:t>
            </w:r>
            <w:r>
              <w:t xml:space="preserve">dient </w:t>
            </w:r>
            <w:r>
              <w:lastRenderedPageBreak/>
              <w:t>Opdrachtgever aan te tonen dat dit Leverancier toerekenbaar is. Indien</w:t>
            </w:r>
            <w:r w:rsidRPr="000F48E4">
              <w:t xml:space="preserve"> Leverancier aantoont dat dit niet aan hem toerekenbaar is, dan:</w:t>
            </w:r>
            <w:r>
              <w:t xml:space="preserve"> …</w:t>
            </w:r>
          </w:p>
        </w:tc>
        <w:tc>
          <w:tcPr>
            <w:tcW w:w="2693" w:type="dxa"/>
          </w:tcPr>
          <w:p w14:paraId="6805BE9E" w14:textId="77777777" w:rsidR="0087424A" w:rsidRDefault="0087424A"/>
        </w:tc>
      </w:tr>
      <w:tr w:rsidR="0087424A" w14:paraId="12B198CD" w14:textId="3C74FBEF" w:rsidTr="00F7011F">
        <w:tc>
          <w:tcPr>
            <w:tcW w:w="1442" w:type="dxa"/>
          </w:tcPr>
          <w:p w14:paraId="13380047" w14:textId="0202DF12" w:rsidR="0087424A" w:rsidRDefault="0087424A">
            <w:r>
              <w:t>9</w:t>
            </w:r>
          </w:p>
        </w:tc>
        <w:tc>
          <w:tcPr>
            <w:tcW w:w="2948" w:type="dxa"/>
          </w:tcPr>
          <w:p w14:paraId="666F6368" w14:textId="77777777" w:rsidR="0087424A" w:rsidRDefault="0087424A"/>
        </w:tc>
        <w:tc>
          <w:tcPr>
            <w:tcW w:w="3685" w:type="dxa"/>
          </w:tcPr>
          <w:p w14:paraId="5A456EC9" w14:textId="77777777" w:rsidR="0087424A" w:rsidRDefault="0087424A"/>
        </w:tc>
        <w:tc>
          <w:tcPr>
            <w:tcW w:w="2693" w:type="dxa"/>
          </w:tcPr>
          <w:p w14:paraId="34B80557" w14:textId="719826F4" w:rsidR="0087424A" w:rsidRDefault="0087424A">
            <w:r>
              <w:t>Deze komt in zijn geheel te vervallen omdat er een Implementatieplan zal worden opgesteld.</w:t>
            </w:r>
          </w:p>
        </w:tc>
      </w:tr>
      <w:tr w:rsidR="0087424A" w14:paraId="39A00BA2" w14:textId="7243DD3F" w:rsidTr="00F7011F">
        <w:tc>
          <w:tcPr>
            <w:tcW w:w="1442" w:type="dxa"/>
          </w:tcPr>
          <w:p w14:paraId="7C3ECFA6" w14:textId="287E550B" w:rsidR="0087424A" w:rsidRDefault="0087424A">
            <w:r>
              <w:t>10.10</w:t>
            </w:r>
          </w:p>
        </w:tc>
        <w:tc>
          <w:tcPr>
            <w:tcW w:w="2948" w:type="dxa"/>
          </w:tcPr>
          <w:p w14:paraId="36668EDB" w14:textId="09C4C9CD" w:rsidR="0087424A" w:rsidRDefault="0087424A" w:rsidP="009F295C">
            <w:r>
              <w:t>De gevolgen van het niet halen van Service Levels worden in de Overeenkomst/SLA geregeld, met dien verstande dat (gedeeltelijke)</w:t>
            </w:r>
          </w:p>
          <w:p w14:paraId="25CA8B6A" w14:textId="6653381F" w:rsidR="0087424A" w:rsidRDefault="0087424A" w:rsidP="009F295C">
            <w:r>
              <w:t>ontbinding van de Overeenkomst en/of de SLA(‘s) in ieder geval mogelijk is bij het meerdere meetperiodes achtereenvolgens niet halen van dezelfde Service Levels.</w:t>
            </w:r>
          </w:p>
          <w:p w14:paraId="10B11D53" w14:textId="55D9F64B" w:rsidR="0087424A" w:rsidRDefault="0087424A" w:rsidP="009F295C">
            <w:r>
              <w:t>Eventueel in de SLA bedongen maatregelen laten de overige rechten van Opdrachtgever onverlet, waaronder begrepen het recht om naast de maatregel de door hem geleden schade te verhalen. Betaalde sancties (als onderdeel van de afgesproken maatregelen) worden in mindering gebracht op de eventueel te betalen schadevergoeding.</w:t>
            </w:r>
          </w:p>
        </w:tc>
        <w:tc>
          <w:tcPr>
            <w:tcW w:w="3685" w:type="dxa"/>
          </w:tcPr>
          <w:p w14:paraId="651C0190" w14:textId="681DE381" w:rsidR="0087424A" w:rsidRDefault="0087424A" w:rsidP="009F295C">
            <w:r>
              <w:t>De gevolgen van het niet halen van Service Levels worden in de Overeenkomst/SLA geregeld, met dien verstande dat (gedeeltelijke)</w:t>
            </w:r>
          </w:p>
          <w:p w14:paraId="75BEC31B" w14:textId="7E74D02B" w:rsidR="0087424A" w:rsidRDefault="0087424A" w:rsidP="009F295C">
            <w:r>
              <w:t>ontbinding van de Overeenkomst en/of de SLA(‘s) in ieder geval mogelijk is bij het meerdere meetperiodes achtereenvolgens niet halen van dezelfde Service Levels, tenzij het niet halen van een Service Level, gezien haar bijzondere aard of geringe betekenis, deze ontbinding met haar gevolgen niet rechtvaardigt. Eventueel in de SLA bedongen maatregelen laten de overige rechten van Opdrachtgever onverlet, waaronder begrepen het recht om naast de maatregel de door hem geleden schade te verhalen. Betaalde sancties (als onderdeel van de afgesproken maatregelen) worden in mindering gebracht op de eventueel te betalen schadevergoeding.</w:t>
            </w:r>
          </w:p>
        </w:tc>
        <w:tc>
          <w:tcPr>
            <w:tcW w:w="2693" w:type="dxa"/>
          </w:tcPr>
          <w:p w14:paraId="324FC75D" w14:textId="77777777" w:rsidR="0087424A" w:rsidRDefault="0087424A"/>
        </w:tc>
      </w:tr>
      <w:tr w:rsidR="0087424A" w14:paraId="042ADE87" w14:textId="3CB99F76" w:rsidTr="00F7011F">
        <w:tc>
          <w:tcPr>
            <w:tcW w:w="1442" w:type="dxa"/>
          </w:tcPr>
          <w:p w14:paraId="3AC65026" w14:textId="0088CCAA" w:rsidR="0087424A" w:rsidRDefault="0087424A">
            <w:r>
              <w:t>10.12 ii)</w:t>
            </w:r>
          </w:p>
        </w:tc>
        <w:tc>
          <w:tcPr>
            <w:tcW w:w="2948" w:type="dxa"/>
          </w:tcPr>
          <w:p w14:paraId="64FDA1C9" w14:textId="77777777" w:rsidR="0087424A" w:rsidRDefault="0087424A"/>
        </w:tc>
        <w:tc>
          <w:tcPr>
            <w:tcW w:w="3685" w:type="dxa"/>
          </w:tcPr>
          <w:p w14:paraId="71349001" w14:textId="1AD114BC" w:rsidR="0087424A" w:rsidRDefault="0087424A">
            <w:r>
              <w:t xml:space="preserve">Na laatste zin toevoegen: </w:t>
            </w:r>
            <w:r w:rsidRPr="00626DC7">
              <w:t xml:space="preserve">'tenzij het tot een omstandigheid komt die niet aan </w:t>
            </w:r>
            <w:r>
              <w:t>Leverancier</w:t>
            </w:r>
            <w:r w:rsidRPr="00626DC7">
              <w:t xml:space="preserve"> is toe te rekenen / buiten de macht van </w:t>
            </w:r>
            <w:r>
              <w:t xml:space="preserve">Leverancier </w:t>
            </w:r>
            <w:r w:rsidRPr="00626DC7">
              <w:t>valt'.</w:t>
            </w:r>
          </w:p>
        </w:tc>
        <w:tc>
          <w:tcPr>
            <w:tcW w:w="2693" w:type="dxa"/>
          </w:tcPr>
          <w:p w14:paraId="08857D76" w14:textId="77777777" w:rsidR="0087424A" w:rsidRDefault="0087424A"/>
        </w:tc>
      </w:tr>
      <w:tr w:rsidR="0087424A" w14:paraId="64F2E312" w14:textId="6BEF7CE6" w:rsidTr="00F7011F">
        <w:tc>
          <w:tcPr>
            <w:tcW w:w="1442" w:type="dxa"/>
          </w:tcPr>
          <w:p w14:paraId="38CCDDE2" w14:textId="317DD556" w:rsidR="0087424A" w:rsidRDefault="0087424A">
            <w:r>
              <w:t xml:space="preserve">10.14 </w:t>
            </w:r>
          </w:p>
        </w:tc>
        <w:tc>
          <w:tcPr>
            <w:tcW w:w="2948" w:type="dxa"/>
          </w:tcPr>
          <w:p w14:paraId="26690AD5" w14:textId="71612265" w:rsidR="0087424A" w:rsidRDefault="0087424A">
            <w:r w:rsidRPr="00CD62DC">
              <w:t xml:space="preserve">Opdrachtgever is – </w:t>
            </w:r>
            <w:proofErr w:type="gramStart"/>
            <w:r w:rsidRPr="00CD62DC">
              <w:t>behoudens</w:t>
            </w:r>
            <w:proofErr w:type="gramEnd"/>
            <w:r w:rsidRPr="00CD62DC">
              <w:t xml:space="preserve"> in de situatie als bedoeld in artikel </w:t>
            </w:r>
            <w:r>
              <w:t>34</w:t>
            </w:r>
            <w:r w:rsidRPr="00CD62DC">
              <w:t>.</w:t>
            </w:r>
            <w:r>
              <w:t>3</w:t>
            </w:r>
            <w:r w:rsidRPr="00CD62DC">
              <w:t xml:space="preserve"> – gerechtigd het gebruik en/of de Implementatie van Updates en Upgrades te weigeren, zonder dat dit afbreuk doet aan het door Leverancier te verlenen Onderhoud, met dien verstande dat:</w:t>
            </w:r>
          </w:p>
        </w:tc>
        <w:tc>
          <w:tcPr>
            <w:tcW w:w="3685" w:type="dxa"/>
          </w:tcPr>
          <w:p w14:paraId="26D15E27" w14:textId="7D41A724" w:rsidR="0087424A" w:rsidRDefault="0087424A">
            <w:r w:rsidRPr="003F5B85">
              <w:t xml:space="preserve">Opdrachtgever is – </w:t>
            </w:r>
            <w:proofErr w:type="gramStart"/>
            <w:r w:rsidRPr="003F5B85">
              <w:t>behoudens</w:t>
            </w:r>
            <w:proofErr w:type="gramEnd"/>
            <w:r w:rsidRPr="003F5B85">
              <w:t xml:space="preserve"> in de situatie als bedoeld in artikel </w:t>
            </w:r>
            <w:r>
              <w:t>34</w:t>
            </w:r>
            <w:r w:rsidRPr="003F5B85">
              <w:t>.</w:t>
            </w:r>
            <w:r>
              <w:t>3</w:t>
            </w:r>
            <w:r w:rsidRPr="003F5B85">
              <w:t xml:space="preserve"> – gerechtigd het gebruik en/of de Implementatie van Updates en Upgrades </w:t>
            </w:r>
            <w:r>
              <w:t>binnen 3 maanden in gebruik te nemen</w:t>
            </w:r>
            <w:r w:rsidRPr="003F5B85">
              <w:t>, zonder dat dit afbreuk doet aan het door Leverancier te verlenen Onderhoud, met dien verstande dat:</w:t>
            </w:r>
          </w:p>
        </w:tc>
        <w:tc>
          <w:tcPr>
            <w:tcW w:w="2693" w:type="dxa"/>
          </w:tcPr>
          <w:p w14:paraId="4915D0AA" w14:textId="77777777" w:rsidR="0087424A" w:rsidRDefault="0087424A"/>
        </w:tc>
      </w:tr>
      <w:tr w:rsidR="0087424A" w14:paraId="68794A11" w14:textId="5D5EA792" w:rsidTr="00F7011F">
        <w:tc>
          <w:tcPr>
            <w:tcW w:w="1442" w:type="dxa"/>
          </w:tcPr>
          <w:p w14:paraId="423F9ACF" w14:textId="136F2471" w:rsidR="0087424A" w:rsidRDefault="0087424A">
            <w:r>
              <w:t>10.14 ii)</w:t>
            </w:r>
          </w:p>
        </w:tc>
        <w:tc>
          <w:tcPr>
            <w:tcW w:w="2948" w:type="dxa"/>
          </w:tcPr>
          <w:p w14:paraId="1D22C2BB" w14:textId="77777777" w:rsidR="0087424A" w:rsidRDefault="0087424A"/>
        </w:tc>
        <w:tc>
          <w:tcPr>
            <w:tcW w:w="3685" w:type="dxa"/>
          </w:tcPr>
          <w:p w14:paraId="59953701" w14:textId="558F9FCB" w:rsidR="0087424A" w:rsidRDefault="0087424A">
            <w:r>
              <w:t>18 maanden wordt gewijzigd in 12 maanden</w:t>
            </w:r>
          </w:p>
        </w:tc>
        <w:tc>
          <w:tcPr>
            <w:tcW w:w="2693" w:type="dxa"/>
          </w:tcPr>
          <w:p w14:paraId="4C6C0E9C" w14:textId="77777777" w:rsidR="0087424A" w:rsidRDefault="0087424A"/>
        </w:tc>
      </w:tr>
      <w:tr w:rsidR="0087424A" w14:paraId="4E237AA6" w14:textId="757E23D9" w:rsidTr="00F7011F">
        <w:tc>
          <w:tcPr>
            <w:tcW w:w="1442" w:type="dxa"/>
          </w:tcPr>
          <w:p w14:paraId="477F98CE" w14:textId="7D67674D" w:rsidR="0087424A" w:rsidRDefault="0087424A">
            <w:r>
              <w:lastRenderedPageBreak/>
              <w:t>11.2</w:t>
            </w:r>
          </w:p>
        </w:tc>
        <w:tc>
          <w:tcPr>
            <w:tcW w:w="2948" w:type="dxa"/>
          </w:tcPr>
          <w:p w14:paraId="5734644D" w14:textId="77777777" w:rsidR="0087424A" w:rsidRDefault="0087424A" w:rsidP="00DA2290">
            <w:r>
              <w:t xml:space="preserve">De facturering van de vergoedingen vindt, tenzij anders overeengekomen, als volgt plaats. Van </w:t>
            </w:r>
          </w:p>
          <w:p w14:paraId="0FF8B9B0" w14:textId="77777777" w:rsidR="0087424A" w:rsidRDefault="0087424A" w:rsidP="00DA2290">
            <w:r>
              <w:t xml:space="preserve">eenmalige vergoedingen is 30% eerst opeisbaar na integrale Acceptatie. Periodieke vergoedingen zijn </w:t>
            </w:r>
          </w:p>
          <w:p w14:paraId="53F85500" w14:textId="77777777" w:rsidR="0087424A" w:rsidRDefault="0087424A" w:rsidP="00DA2290">
            <w:r>
              <w:t xml:space="preserve">bij vooruitbetaling verschuldigd, doch 30% van de vergoedingen is eerst opeisbaar na integrale </w:t>
            </w:r>
          </w:p>
          <w:p w14:paraId="78E1C673" w14:textId="77777777" w:rsidR="0087424A" w:rsidRDefault="0087424A" w:rsidP="00DA2290">
            <w:r>
              <w:t xml:space="preserve">Acceptatie. Voor </w:t>
            </w:r>
            <w:proofErr w:type="spellStart"/>
            <w:r>
              <w:t>Derdenprogrammatuur</w:t>
            </w:r>
            <w:proofErr w:type="spellEnd"/>
            <w:r>
              <w:t xml:space="preserve"> is 100% verschuldigd bij levering. Het bepaalde </w:t>
            </w:r>
            <w:proofErr w:type="gramStart"/>
            <w:r>
              <w:t>omtrent</w:t>
            </w:r>
            <w:proofErr w:type="gramEnd"/>
            <w:r>
              <w:t xml:space="preserve"> </w:t>
            </w:r>
          </w:p>
          <w:p w14:paraId="088727BC" w14:textId="77777777" w:rsidR="0087424A" w:rsidRDefault="0087424A" w:rsidP="00DA2290">
            <w:r>
              <w:t xml:space="preserve">uitgestelde opeisbaarheid is niet van toepassing </w:t>
            </w:r>
            <w:proofErr w:type="gramStart"/>
            <w:r>
              <w:t>indien</w:t>
            </w:r>
            <w:proofErr w:type="gramEnd"/>
            <w:r>
              <w:t xml:space="preserve"> voor de ICT Prestatie geen Acceptatieprocedure </w:t>
            </w:r>
          </w:p>
          <w:p w14:paraId="0515F7F2" w14:textId="440C17CF" w:rsidR="0087424A" w:rsidRDefault="0087424A" w:rsidP="00DA2290">
            <w:r>
              <w:t>wordt uitgevoerd.</w:t>
            </w:r>
          </w:p>
        </w:tc>
        <w:tc>
          <w:tcPr>
            <w:tcW w:w="3685" w:type="dxa"/>
          </w:tcPr>
          <w:p w14:paraId="37256989" w14:textId="77777777" w:rsidR="00F7011F" w:rsidRDefault="00F7011F" w:rsidP="00F7011F">
            <w:r>
              <w:t xml:space="preserve">Van de eenmalige vergoedingen is: </w:t>
            </w:r>
          </w:p>
          <w:p w14:paraId="314E74C7" w14:textId="77777777" w:rsidR="00F7011F" w:rsidRDefault="00F7011F" w:rsidP="00F7011F">
            <w:r>
              <w:t>- 30% verschuldigd en facturering na opdrachtverstrekking,</w:t>
            </w:r>
          </w:p>
          <w:p w14:paraId="29E2BF20" w14:textId="77777777" w:rsidR="00F7011F" w:rsidRDefault="00F7011F" w:rsidP="00F7011F">
            <w:r>
              <w:t>- 30% verschuldigd en facturering na integrale acceptatie en</w:t>
            </w:r>
          </w:p>
          <w:p w14:paraId="7ACAF761" w14:textId="77777777" w:rsidR="00F7011F" w:rsidRDefault="00F7011F" w:rsidP="00F7011F">
            <w:r>
              <w:t>- 40% verschuldigd en facturering bij Livegang</w:t>
            </w:r>
          </w:p>
          <w:p w14:paraId="57812C63" w14:textId="77777777" w:rsidR="00F7011F" w:rsidRDefault="00F7011F" w:rsidP="00F7011F"/>
          <w:p w14:paraId="1190BE64" w14:textId="77777777" w:rsidR="00F7011F" w:rsidRDefault="00F7011F" w:rsidP="00F7011F">
            <w:r>
              <w:t>Van de periodieke vergoedingen:</w:t>
            </w:r>
          </w:p>
          <w:p w14:paraId="78E4AF6F" w14:textId="77777777" w:rsidR="00F7011F" w:rsidRDefault="00F7011F" w:rsidP="00F7011F">
            <w:r>
              <w:t>- Gebruiksrechten van de software zijn voor 100% bij live gang van de omgeving verschuldigd, waarbij:</w:t>
            </w:r>
          </w:p>
          <w:p w14:paraId="782B1C7F" w14:textId="77777777" w:rsidR="00F7011F" w:rsidRDefault="00F7011F" w:rsidP="00F7011F">
            <w:r>
              <w:t>- 30% na integrale acceptatie en;</w:t>
            </w:r>
          </w:p>
          <w:p w14:paraId="28F138FC" w14:textId="77777777" w:rsidR="00F7011F" w:rsidRDefault="00F7011F" w:rsidP="00F7011F">
            <w:r>
              <w:t>- 70% bij live gang van de omgeving wordt gefactureerd.</w:t>
            </w:r>
          </w:p>
          <w:p w14:paraId="4923F755" w14:textId="77777777" w:rsidR="00F7011F" w:rsidRDefault="00F7011F" w:rsidP="00F7011F">
            <w:r>
              <w:t>- Kosten voor Hosting zijn voor 100% verschuldigd bij levering voor Opleidingsdoeleinden en/of uiterlijk bij Livegang.</w:t>
            </w:r>
          </w:p>
          <w:p w14:paraId="36D5C1FA" w14:textId="4C7697F7" w:rsidR="00F7011F" w:rsidRDefault="00F7011F" w:rsidP="00F7011F">
            <w:r>
              <w:t xml:space="preserve">- Kosten voor </w:t>
            </w:r>
            <w:proofErr w:type="spellStart"/>
            <w:r>
              <w:t>Derdenprogrammatuur</w:t>
            </w:r>
            <w:proofErr w:type="spellEnd"/>
            <w:r>
              <w:t xml:space="preserve"> 100% verschuldigd bij Levering.</w:t>
            </w:r>
          </w:p>
        </w:tc>
        <w:tc>
          <w:tcPr>
            <w:tcW w:w="2693" w:type="dxa"/>
          </w:tcPr>
          <w:p w14:paraId="417F5D1A" w14:textId="77777777" w:rsidR="0087424A" w:rsidRDefault="0087424A"/>
        </w:tc>
      </w:tr>
      <w:tr w:rsidR="0087424A" w14:paraId="79EEEAA8" w14:textId="2E15E0B7" w:rsidTr="00F7011F">
        <w:tc>
          <w:tcPr>
            <w:tcW w:w="1442" w:type="dxa"/>
          </w:tcPr>
          <w:p w14:paraId="32CEC670" w14:textId="25D94E5A" w:rsidR="0087424A" w:rsidRDefault="0087424A">
            <w:r>
              <w:t>11.9</w:t>
            </w:r>
          </w:p>
        </w:tc>
        <w:tc>
          <w:tcPr>
            <w:tcW w:w="2948" w:type="dxa"/>
          </w:tcPr>
          <w:p w14:paraId="419F8656" w14:textId="4A08D223" w:rsidR="0087424A" w:rsidRDefault="0087424A">
            <w:r w:rsidRPr="00C10544">
              <w:t xml:space="preserve">Leverancier is voorts gerechtigd de aantoonbare prijsstijging van Derden- programmatuur per 1 januari door te belasten, mits deze prijsstijging ten tijde van het sluiten van de Overeenkomst nog niet voorzienbaar was. </w:t>
            </w:r>
            <w:proofErr w:type="gramStart"/>
            <w:r w:rsidRPr="00C10544">
              <w:t>Indien</w:t>
            </w:r>
            <w:proofErr w:type="gramEnd"/>
            <w:r w:rsidRPr="00C10544">
              <w:t xml:space="preserve"> de prijzen van </w:t>
            </w:r>
            <w:proofErr w:type="spellStart"/>
            <w:r w:rsidRPr="00C10544">
              <w:t>Derdenprogrammatuur</w:t>
            </w:r>
            <w:proofErr w:type="spellEnd"/>
            <w:r w:rsidRPr="00C10544">
              <w:t xml:space="preserve"> gedurende de looptijd van de Overeenkomst dalen, zal Leverancier van </w:t>
            </w:r>
            <w:proofErr w:type="spellStart"/>
            <w:r w:rsidRPr="00C10544">
              <w:t>Derdenprogrammatuur</w:t>
            </w:r>
            <w:proofErr w:type="spellEnd"/>
            <w:r w:rsidRPr="00C10544">
              <w:t xml:space="preserve"> steeds slechts de actuele (verlaagde) prijs in rekening brengen.</w:t>
            </w:r>
          </w:p>
        </w:tc>
        <w:tc>
          <w:tcPr>
            <w:tcW w:w="3685" w:type="dxa"/>
          </w:tcPr>
          <w:p w14:paraId="1FF16E4E" w14:textId="3641B18E" w:rsidR="0087424A" w:rsidRDefault="0087424A">
            <w:r w:rsidRPr="00C10544">
              <w:t xml:space="preserve">Leverancier is voorts gerechtigd de aantoonbare prijsstijging van Derden- programmatuur per 1 januari door te belasten, mits deze prijsstijging ten tijde van het sluiten van de Overeenkomst nog niet voorzienbaar was. </w:t>
            </w:r>
            <w:proofErr w:type="gramStart"/>
            <w:r w:rsidRPr="00C10544">
              <w:t>Indien</w:t>
            </w:r>
            <w:proofErr w:type="gramEnd"/>
            <w:r w:rsidRPr="00C10544">
              <w:t xml:space="preserve"> de prijzen van </w:t>
            </w:r>
            <w:proofErr w:type="spellStart"/>
            <w:r w:rsidRPr="00C10544">
              <w:t>Derdenprogrammatuur</w:t>
            </w:r>
            <w:proofErr w:type="spellEnd"/>
            <w:r w:rsidRPr="00C10544">
              <w:t xml:space="preserve"> gedurende de looptijd van de Overeenkomst dalen, zal Leverancier</w:t>
            </w:r>
            <w:r>
              <w:t>,</w:t>
            </w:r>
            <w:r w:rsidRPr="00C10544">
              <w:t xml:space="preserve"> </w:t>
            </w:r>
            <w:r>
              <w:t xml:space="preserve"> eveneens per 1 januari , de</w:t>
            </w:r>
            <w:r w:rsidRPr="00C10544">
              <w:t xml:space="preserve"> actuele (verlaagde) prijs in rekening brengen.</w:t>
            </w:r>
          </w:p>
        </w:tc>
        <w:tc>
          <w:tcPr>
            <w:tcW w:w="2693" w:type="dxa"/>
          </w:tcPr>
          <w:p w14:paraId="0C2170BE" w14:textId="77777777" w:rsidR="0087424A" w:rsidRDefault="0087424A"/>
        </w:tc>
      </w:tr>
      <w:tr w:rsidR="0087424A" w14:paraId="5F7A9B34" w14:textId="22693D18" w:rsidTr="00F7011F">
        <w:tc>
          <w:tcPr>
            <w:tcW w:w="1442" w:type="dxa"/>
          </w:tcPr>
          <w:p w14:paraId="21507790" w14:textId="31945902" w:rsidR="0087424A" w:rsidRDefault="0087424A">
            <w:r>
              <w:t>12.1</w:t>
            </w:r>
          </w:p>
        </w:tc>
        <w:tc>
          <w:tcPr>
            <w:tcW w:w="2948" w:type="dxa"/>
          </w:tcPr>
          <w:p w14:paraId="27078F3A" w14:textId="0FB03316" w:rsidR="0087424A" w:rsidRDefault="0087424A">
            <w:r w:rsidRPr="00185E38">
              <w:t>Leverancier garandeert  dat: (...)'</w:t>
            </w:r>
          </w:p>
        </w:tc>
        <w:tc>
          <w:tcPr>
            <w:tcW w:w="3685" w:type="dxa"/>
          </w:tcPr>
          <w:p w14:paraId="680E7B96" w14:textId="6B3B1E9B" w:rsidR="0087424A" w:rsidRDefault="0087424A">
            <w:r w:rsidRPr="00185E38">
              <w:t>Leverancier garandeert voor zover passend binnen een SaaS-dienst dat: (...)'</w:t>
            </w:r>
          </w:p>
        </w:tc>
        <w:tc>
          <w:tcPr>
            <w:tcW w:w="2693" w:type="dxa"/>
          </w:tcPr>
          <w:p w14:paraId="0EA80954" w14:textId="77777777" w:rsidR="0087424A" w:rsidRDefault="0087424A"/>
        </w:tc>
      </w:tr>
      <w:tr w:rsidR="00450CFC" w14:paraId="56EBDF24" w14:textId="77777777" w:rsidTr="00F7011F">
        <w:tc>
          <w:tcPr>
            <w:tcW w:w="1442" w:type="dxa"/>
          </w:tcPr>
          <w:p w14:paraId="759FEBF3" w14:textId="3693CD21" w:rsidR="00450CFC" w:rsidRDefault="00450CFC">
            <w:r>
              <w:t>13.1 sub i</w:t>
            </w:r>
          </w:p>
        </w:tc>
        <w:tc>
          <w:tcPr>
            <w:tcW w:w="2948" w:type="dxa"/>
          </w:tcPr>
          <w:p w14:paraId="132BD03A" w14:textId="77777777" w:rsidR="00450CFC" w:rsidRPr="00185E38" w:rsidRDefault="00450CFC"/>
        </w:tc>
        <w:tc>
          <w:tcPr>
            <w:tcW w:w="3685" w:type="dxa"/>
          </w:tcPr>
          <w:p w14:paraId="12DFF9CB" w14:textId="77777777" w:rsidR="00450CFC" w:rsidRPr="00185E38" w:rsidRDefault="00450CFC"/>
        </w:tc>
        <w:tc>
          <w:tcPr>
            <w:tcW w:w="2693" w:type="dxa"/>
          </w:tcPr>
          <w:p w14:paraId="357EA77B" w14:textId="7E2F97A7" w:rsidR="00450CFC" w:rsidRDefault="00450CFC">
            <w:r>
              <w:t>Dit lid, artikel 13.1 sub i komt te vervallen</w:t>
            </w:r>
          </w:p>
        </w:tc>
      </w:tr>
      <w:tr w:rsidR="00C23CC2" w14:paraId="740F6013" w14:textId="77777777" w:rsidTr="00F7011F">
        <w:tc>
          <w:tcPr>
            <w:tcW w:w="1442" w:type="dxa"/>
          </w:tcPr>
          <w:p w14:paraId="51B1B53E" w14:textId="54653C29" w:rsidR="00C23CC2" w:rsidRDefault="00C23CC2">
            <w:r>
              <w:t>13.3</w:t>
            </w:r>
          </w:p>
        </w:tc>
        <w:tc>
          <w:tcPr>
            <w:tcW w:w="2948" w:type="dxa"/>
          </w:tcPr>
          <w:p w14:paraId="01201F6A" w14:textId="75BEA448"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t>Leverancier zal op eerste verzoek van Opdrachtgever en zonder daarvoor (extra) kosten</w:t>
            </w:r>
            <w:r>
              <w:rPr>
                <w:rFonts w:ascii="AvenirLTStd-Light" w:hAnsi="AvenirLTStd-Light" w:cs="AvenirLTStd-Light"/>
              </w:rPr>
              <w:t xml:space="preserve"> </w:t>
            </w:r>
            <w:r w:rsidRPr="00C23CC2">
              <w:rPr>
                <w:rFonts w:ascii="AvenirLTStd-Light" w:hAnsi="AvenirLTStd-Light" w:cs="AvenirLTStd-Light"/>
              </w:rPr>
              <w:t>in rekening te brengen:</w:t>
            </w:r>
          </w:p>
          <w:p w14:paraId="4861D875" w14:textId="77777777"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t>i. betekenisvolle kwantitatieve en kwalitatieve informatie verschaffen over de bij de</w:t>
            </w:r>
          </w:p>
          <w:p w14:paraId="6CB9EE1F" w14:textId="77777777"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lastRenderedPageBreak/>
              <w:t>Algoritmische toepassing gebruikte data, gebruikte (statistische) modellen en</w:t>
            </w:r>
          </w:p>
          <w:p w14:paraId="33F11CF7" w14:textId="77777777"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t xml:space="preserve">eventuele visualisaties, </w:t>
            </w:r>
            <w:proofErr w:type="gramStart"/>
            <w:r w:rsidRPr="00C23CC2">
              <w:rPr>
                <w:rFonts w:ascii="AvenirLTStd-Light" w:hAnsi="AvenirLTStd-Light" w:cs="AvenirLTStd-Light"/>
              </w:rPr>
              <w:t>alsmede</w:t>
            </w:r>
            <w:proofErr w:type="gramEnd"/>
            <w:r w:rsidRPr="00C23CC2">
              <w:rPr>
                <w:rFonts w:ascii="AvenirLTStd-Light" w:hAnsi="AvenirLTStd-Light" w:cs="AvenirLTStd-Light"/>
              </w:rPr>
              <w:t xml:space="preserve"> alle andere informatie verschaffen die redelijkerwijs</w:t>
            </w:r>
          </w:p>
          <w:p w14:paraId="43F0F364" w14:textId="77777777"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t>vereist is om de werking van de Algoritmische toepassing in algemene zin te</w:t>
            </w:r>
          </w:p>
          <w:p w14:paraId="0DB61DFF" w14:textId="77777777"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t>kunnen verantwoorden;</w:t>
            </w:r>
          </w:p>
          <w:p w14:paraId="1EA96ADF" w14:textId="77777777"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t>ii. in een specifieke situatie op individueel niveau uitleggen waarom de Algoritmische</w:t>
            </w:r>
          </w:p>
          <w:p w14:paraId="6475BF6E" w14:textId="77777777" w:rsidR="00C23CC2" w:rsidRPr="00C23CC2" w:rsidRDefault="00C23CC2" w:rsidP="00C23CC2">
            <w:pPr>
              <w:autoSpaceDE w:val="0"/>
              <w:autoSpaceDN w:val="0"/>
              <w:adjustRightInd w:val="0"/>
              <w:rPr>
                <w:rFonts w:ascii="AvenirLTStd-Light" w:hAnsi="AvenirLTStd-Light" w:cs="AvenirLTStd-Light"/>
              </w:rPr>
            </w:pPr>
            <w:r w:rsidRPr="00C23CC2">
              <w:rPr>
                <w:rFonts w:ascii="AvenirLTStd-Light" w:hAnsi="AvenirLTStd-Light" w:cs="AvenirLTStd-Light"/>
              </w:rPr>
              <w:t>toepassing tot een bepaalde conclusie of beslissing is gekomen, in zodanige mate</w:t>
            </w:r>
          </w:p>
          <w:p w14:paraId="2982F1CD" w14:textId="143DD7AC" w:rsidR="00C23CC2" w:rsidRPr="00C23CC2" w:rsidRDefault="00C23CC2" w:rsidP="00C23CC2">
            <w:r w:rsidRPr="00C23CC2">
              <w:rPr>
                <w:rFonts w:ascii="AvenirLTStd-Light" w:hAnsi="AvenirLTStd-Light" w:cs="AvenirLTStd-Light"/>
              </w:rPr>
              <w:t>van detail dat de conclusie/beslissing zo nodig in rechte kan worden getoetst.</w:t>
            </w:r>
          </w:p>
        </w:tc>
        <w:tc>
          <w:tcPr>
            <w:tcW w:w="3685" w:type="dxa"/>
          </w:tcPr>
          <w:p w14:paraId="1F831CFE" w14:textId="27A29DA1" w:rsidR="00C23CC2" w:rsidRPr="00C23CC2" w:rsidRDefault="00C23CC2" w:rsidP="00C23CC2">
            <w:pPr>
              <w:tabs>
                <w:tab w:val="left" w:pos="1129"/>
              </w:tabs>
            </w:pPr>
            <w:r w:rsidRPr="00C23CC2">
              <w:lastRenderedPageBreak/>
              <w:t xml:space="preserve">Leverancier zal op eerste verzoek van Opdrachtgever en indien mogelijk daarvoor geen (extra) kosten in rekening te brengen: </w:t>
            </w:r>
            <w:r>
              <w:br/>
            </w:r>
            <w:r w:rsidRPr="00C23CC2">
              <w:t xml:space="preserve">i) betekenisvolle kwantitatieve en kwalitatieve informatie verschaffen over de bij de Algoritmische toepassing gebruikte data, gebruikte </w:t>
            </w:r>
            <w:r w:rsidRPr="00C23CC2">
              <w:lastRenderedPageBreak/>
              <w:t xml:space="preserve">(statistische) modellen en eventuele visualisaties, alsmede alle andere informatie verschaffen die </w:t>
            </w:r>
            <w:r>
              <w:t>r</w:t>
            </w:r>
            <w:r w:rsidRPr="00C23CC2">
              <w:t>edelijkerwijs vereist is om de werking van de Algoritmische toepassing in algemene zin te kunnen verantwoorden;</w:t>
            </w:r>
            <w:r>
              <w:br/>
            </w:r>
            <w:r w:rsidRPr="00C23CC2">
              <w:t xml:space="preserve">ii) in een specifieke situatie op individueel niveau uitleggen waarom de Algoritmische toepassing tot een bepaalde conclusie of beslissing is gekomen, in zodanige mate van detail dat de conclusie/beslissing zo nodig in </w:t>
            </w:r>
            <w:r>
              <w:t>r</w:t>
            </w:r>
            <w:r w:rsidRPr="00C23CC2">
              <w:t>echte kan worden getoetst. Van dit artikel is uitgesloten informatie welke Leverancier bedrijfsgevoelige of concurrentiegevoelige informatie acht. en/of informatie waar een geheimhoudingsplicht op rust.</w:t>
            </w:r>
          </w:p>
        </w:tc>
        <w:tc>
          <w:tcPr>
            <w:tcW w:w="2693" w:type="dxa"/>
          </w:tcPr>
          <w:p w14:paraId="03FBF5BF" w14:textId="77777777" w:rsidR="00C23CC2" w:rsidRDefault="00C23CC2"/>
        </w:tc>
      </w:tr>
      <w:tr w:rsidR="0087424A" w14:paraId="764437F4" w14:textId="477B4DB6" w:rsidTr="00F7011F">
        <w:tc>
          <w:tcPr>
            <w:tcW w:w="1442" w:type="dxa"/>
          </w:tcPr>
          <w:p w14:paraId="324D0565" w14:textId="5AC16017" w:rsidR="0087424A" w:rsidRDefault="0087424A">
            <w:r>
              <w:t>18.6</w:t>
            </w:r>
          </w:p>
        </w:tc>
        <w:tc>
          <w:tcPr>
            <w:tcW w:w="2948" w:type="dxa"/>
          </w:tcPr>
          <w:p w14:paraId="4FD4CAD5" w14:textId="61245887" w:rsidR="0087424A" w:rsidRDefault="0087424A">
            <w:r w:rsidRPr="00AF058E">
              <w:t>De partij die in dit artikel opgenomen geheimhoudingsverplichting schendt, is aan de andere partij een onmiddellijk opeisbare boete verschuldigd van 4 keer de Vergoeding per overtreding, onverminderd het recht de daadwerkelijk geleden schade te verhalen (met inachtneming van artikel 13). De hiervoor bedoelde boete bedraagt evenwel nooit meer dan € 50.000,- per overtreding. Samenhangende overtredingen worden daarbij aangemerkt als één overtreding.</w:t>
            </w:r>
          </w:p>
        </w:tc>
        <w:tc>
          <w:tcPr>
            <w:tcW w:w="3685" w:type="dxa"/>
          </w:tcPr>
          <w:p w14:paraId="417C45E8" w14:textId="4FC52C5E" w:rsidR="0087424A" w:rsidRDefault="0087424A">
            <w:r w:rsidRPr="00AF058E">
              <w:t xml:space="preserve">De partij die in dit artikel opgenomen geheimhoudingsverplichting schendt, is aan de andere partij een onmiddellijk opeisbare boete verschuldigd van € </w:t>
            </w:r>
            <w:r>
              <w:t>1</w:t>
            </w:r>
            <w:r w:rsidRPr="00AF058E">
              <w:t xml:space="preserve">0.000,- per </w:t>
            </w:r>
            <w:r>
              <w:t xml:space="preserve">overtreding met een </w:t>
            </w:r>
          </w:p>
          <w:p w14:paraId="317630BC" w14:textId="0251B3A5" w:rsidR="0087424A" w:rsidRDefault="0087424A">
            <w:r>
              <w:t xml:space="preserve">maximum van </w:t>
            </w:r>
            <w:r w:rsidRPr="00E3716B">
              <w:rPr>
                <w:highlight w:val="yellow"/>
              </w:rPr>
              <w:t>€ 50.000,-.</w:t>
            </w:r>
            <w:r w:rsidRPr="00AF058E">
              <w:t xml:space="preserve"> Samenhangende overtredingen worden daarbij aangemerkt als één overtreding.</w:t>
            </w:r>
          </w:p>
        </w:tc>
        <w:tc>
          <w:tcPr>
            <w:tcW w:w="2693" w:type="dxa"/>
          </w:tcPr>
          <w:p w14:paraId="1E387098" w14:textId="77777777" w:rsidR="0087424A" w:rsidRDefault="0087424A"/>
        </w:tc>
      </w:tr>
      <w:tr w:rsidR="0087424A" w14:paraId="488727CB" w14:textId="5F8ADC54" w:rsidTr="00F7011F">
        <w:tc>
          <w:tcPr>
            <w:tcW w:w="1442" w:type="dxa"/>
          </w:tcPr>
          <w:p w14:paraId="04C277A8" w14:textId="018C0560" w:rsidR="0087424A" w:rsidRDefault="0087424A">
            <w:r>
              <w:t>19.2</w:t>
            </w:r>
          </w:p>
        </w:tc>
        <w:tc>
          <w:tcPr>
            <w:tcW w:w="2948" w:type="dxa"/>
          </w:tcPr>
          <w:p w14:paraId="33752267" w14:textId="2A6F05EA" w:rsidR="0087424A" w:rsidRDefault="0087424A">
            <w:r w:rsidRPr="00A44182">
              <w:t>Onder overmacht aan de zijde van Leverancier wordt in ieder geval niet verstaan:</w:t>
            </w:r>
          </w:p>
        </w:tc>
        <w:tc>
          <w:tcPr>
            <w:tcW w:w="3685" w:type="dxa"/>
          </w:tcPr>
          <w:p w14:paraId="2FB59000" w14:textId="31C4BFD2" w:rsidR="0087424A" w:rsidRDefault="0087424A">
            <w:r w:rsidRPr="00A44182">
              <w:t>Onder overmacht aan de zijde van Leverancier</w:t>
            </w:r>
            <w:r>
              <w:t xml:space="preserve"> en diens onderaannemers</w:t>
            </w:r>
            <w:r w:rsidRPr="00A44182">
              <w:t xml:space="preserve"> wordt in ieder geval niet verstaan:</w:t>
            </w:r>
          </w:p>
        </w:tc>
        <w:tc>
          <w:tcPr>
            <w:tcW w:w="2693" w:type="dxa"/>
          </w:tcPr>
          <w:p w14:paraId="63622DE2" w14:textId="77777777" w:rsidR="0087424A" w:rsidRDefault="0087424A"/>
        </w:tc>
      </w:tr>
      <w:tr w:rsidR="0087424A" w14:paraId="66BC897C" w14:textId="12E711C9" w:rsidTr="00F7011F">
        <w:tc>
          <w:tcPr>
            <w:tcW w:w="1442" w:type="dxa"/>
          </w:tcPr>
          <w:p w14:paraId="082D0248" w14:textId="5FF954B3" w:rsidR="0087424A" w:rsidRDefault="0087424A">
            <w:r>
              <w:t>20.3</w:t>
            </w:r>
          </w:p>
        </w:tc>
        <w:tc>
          <w:tcPr>
            <w:tcW w:w="2948" w:type="dxa"/>
          </w:tcPr>
          <w:p w14:paraId="41BD4066" w14:textId="77777777" w:rsidR="0087424A" w:rsidRDefault="0087424A"/>
        </w:tc>
        <w:tc>
          <w:tcPr>
            <w:tcW w:w="3685" w:type="dxa"/>
          </w:tcPr>
          <w:p w14:paraId="145C6465" w14:textId="77777777" w:rsidR="0087424A" w:rsidRDefault="0087424A"/>
        </w:tc>
        <w:tc>
          <w:tcPr>
            <w:tcW w:w="2693" w:type="dxa"/>
          </w:tcPr>
          <w:p w14:paraId="37843A47" w14:textId="54A085EB" w:rsidR="0087424A" w:rsidRDefault="0087424A">
            <w:r w:rsidRPr="0001373E">
              <w:t>Ter verduidelijking: Opdrachtgever verkrijgt geen eigendom(rechten) over de uitgevraagde SaaS, maar een gebruiksrecht dat niet-exclusief, niet-overdraagbaar en niet-</w:t>
            </w:r>
            <w:proofErr w:type="spellStart"/>
            <w:r w:rsidRPr="0001373E">
              <w:t>sublicentieerbaar</w:t>
            </w:r>
            <w:proofErr w:type="spellEnd"/>
            <w:r w:rsidRPr="0001373E">
              <w:t xml:space="preserve"> is. Het gebruiksrecht geldt </w:t>
            </w:r>
            <w:r w:rsidRPr="0001373E">
              <w:lastRenderedPageBreak/>
              <w:t>uitsluitend voor de duur van de overeenkomst</w:t>
            </w:r>
          </w:p>
        </w:tc>
      </w:tr>
      <w:tr w:rsidR="0087424A" w14:paraId="61A8B128" w14:textId="58A5794D" w:rsidTr="00F7011F">
        <w:tc>
          <w:tcPr>
            <w:tcW w:w="1442" w:type="dxa"/>
          </w:tcPr>
          <w:p w14:paraId="23D6B456" w14:textId="75D9C886" w:rsidR="0087424A" w:rsidRDefault="0087424A">
            <w:r>
              <w:lastRenderedPageBreak/>
              <w:t>20.4</w:t>
            </w:r>
          </w:p>
        </w:tc>
        <w:tc>
          <w:tcPr>
            <w:tcW w:w="2948" w:type="dxa"/>
          </w:tcPr>
          <w:p w14:paraId="5EDFE2D5" w14:textId="77777777" w:rsidR="00547B58" w:rsidRPr="00547B58" w:rsidRDefault="00547B58" w:rsidP="00547B58">
            <w:pPr>
              <w:autoSpaceDE w:val="0"/>
              <w:autoSpaceDN w:val="0"/>
              <w:adjustRightInd w:val="0"/>
              <w:rPr>
                <w:rFonts w:cstheme="minorHAnsi"/>
              </w:rPr>
            </w:pPr>
            <w:r w:rsidRPr="00547B58">
              <w:rPr>
                <w:rFonts w:cstheme="minorHAnsi"/>
              </w:rPr>
              <w:t>De rechten van intellectuele eigendom op Maatwerkprogrammatuur berusten bij</w:t>
            </w:r>
          </w:p>
          <w:p w14:paraId="4E0DFD6A" w14:textId="77777777" w:rsidR="00547B58" w:rsidRPr="00547B58" w:rsidRDefault="00547B58" w:rsidP="00547B58">
            <w:pPr>
              <w:autoSpaceDE w:val="0"/>
              <w:autoSpaceDN w:val="0"/>
              <w:adjustRightInd w:val="0"/>
              <w:rPr>
                <w:rFonts w:cstheme="minorHAnsi"/>
              </w:rPr>
            </w:pPr>
            <w:r w:rsidRPr="00547B58">
              <w:rPr>
                <w:rFonts w:cstheme="minorHAnsi"/>
              </w:rPr>
              <w:t>Opdrachtgever. Deze rechten worden hierbij overgedragen door Leverancier aan</w:t>
            </w:r>
          </w:p>
          <w:p w14:paraId="09BFA4E7" w14:textId="77777777" w:rsidR="00547B58" w:rsidRPr="00547B58" w:rsidRDefault="00547B58" w:rsidP="00547B58">
            <w:pPr>
              <w:autoSpaceDE w:val="0"/>
              <w:autoSpaceDN w:val="0"/>
              <w:adjustRightInd w:val="0"/>
              <w:rPr>
                <w:rFonts w:cstheme="minorHAnsi"/>
              </w:rPr>
            </w:pPr>
            <w:r w:rsidRPr="00547B58">
              <w:rPr>
                <w:rFonts w:cstheme="minorHAnsi"/>
              </w:rPr>
              <w:t>Opdrachtgever, die deze overdracht hierbij aanvaardt. Deze overdracht ziet op alle</w:t>
            </w:r>
          </w:p>
          <w:p w14:paraId="1825D9C8" w14:textId="77777777" w:rsidR="00547B58" w:rsidRPr="00547B58" w:rsidRDefault="00547B58" w:rsidP="00547B58">
            <w:pPr>
              <w:autoSpaceDE w:val="0"/>
              <w:autoSpaceDN w:val="0"/>
              <w:adjustRightInd w:val="0"/>
              <w:rPr>
                <w:rFonts w:cstheme="minorHAnsi"/>
              </w:rPr>
            </w:pPr>
            <w:r w:rsidRPr="00547B58">
              <w:rPr>
                <w:rFonts w:cstheme="minorHAnsi"/>
              </w:rPr>
              <w:t>huidige en toekomstige rechten in de meest ruime zin van het woord. Leverancier doet</w:t>
            </w:r>
          </w:p>
          <w:p w14:paraId="7F209968" w14:textId="77777777" w:rsidR="00547B58" w:rsidRPr="00547B58" w:rsidRDefault="00547B58" w:rsidP="00547B58">
            <w:pPr>
              <w:autoSpaceDE w:val="0"/>
              <w:autoSpaceDN w:val="0"/>
              <w:adjustRightInd w:val="0"/>
              <w:rPr>
                <w:rFonts w:cstheme="minorHAnsi"/>
              </w:rPr>
            </w:pPr>
            <w:r w:rsidRPr="00547B58">
              <w:rPr>
                <w:rFonts w:cstheme="minorHAnsi"/>
              </w:rPr>
              <w:t>voorts – voor zover de wet dat toestaat – onherroepelijk afstand van eventuele persoonlijkheidsrechten</w:t>
            </w:r>
          </w:p>
          <w:p w14:paraId="392C0F4B" w14:textId="5E8B28F1" w:rsidR="00547B58" w:rsidRPr="00547B58" w:rsidRDefault="00547B58" w:rsidP="00547B58">
            <w:pPr>
              <w:autoSpaceDE w:val="0"/>
              <w:autoSpaceDN w:val="0"/>
              <w:adjustRightInd w:val="0"/>
              <w:rPr>
                <w:rFonts w:cstheme="minorHAnsi"/>
              </w:rPr>
            </w:pPr>
            <w:r w:rsidRPr="00547B58">
              <w:rPr>
                <w:rFonts w:cstheme="minorHAnsi"/>
              </w:rPr>
              <w:t>op de Maatwerkprogrammatuur. Leverancier zal alle broncodes van de betreffende Maatwerk- programmatuur aan Opdrachtgever ter beschikking stellen.</w:t>
            </w:r>
          </w:p>
          <w:p w14:paraId="232FD0CB" w14:textId="1708C7CC" w:rsidR="00547B58" w:rsidRPr="00547B58" w:rsidRDefault="00547B58" w:rsidP="00547B58">
            <w:pPr>
              <w:autoSpaceDE w:val="0"/>
              <w:autoSpaceDN w:val="0"/>
              <w:adjustRightInd w:val="0"/>
              <w:rPr>
                <w:rFonts w:cstheme="minorHAnsi"/>
              </w:rPr>
            </w:pPr>
            <w:r w:rsidRPr="00547B58">
              <w:rPr>
                <w:rFonts w:cstheme="minorHAnsi"/>
              </w:rPr>
              <w:t>De eenmalige koopprijs voor deze overdracht wordt geacht besloten te hebben gelegen in de daarvoor overeengekomen prijs. De overdracht en de levering van de</w:t>
            </w:r>
          </w:p>
          <w:p w14:paraId="7ED100B5" w14:textId="7A0541D9" w:rsidR="0087424A" w:rsidRPr="00547B58" w:rsidRDefault="00547B58" w:rsidP="00547B58">
            <w:pPr>
              <w:autoSpaceDE w:val="0"/>
              <w:autoSpaceDN w:val="0"/>
              <w:adjustRightInd w:val="0"/>
              <w:rPr>
                <w:rFonts w:cstheme="minorHAnsi"/>
              </w:rPr>
            </w:pPr>
            <w:r w:rsidRPr="00547B58">
              <w:rPr>
                <w:rFonts w:cstheme="minorHAnsi"/>
              </w:rPr>
              <w:t>rechten en eerder genoemde broncode vindt plaats onder de opschortende voorwaarde van betaling van de betreffende daarvoor overeengekomen prijs.</w:t>
            </w:r>
          </w:p>
        </w:tc>
        <w:tc>
          <w:tcPr>
            <w:tcW w:w="3685" w:type="dxa"/>
          </w:tcPr>
          <w:p w14:paraId="33152C2C" w14:textId="2E557E0A" w:rsidR="0087424A" w:rsidRDefault="00547B58" w:rsidP="00D974C3">
            <w:pPr>
              <w:spacing w:after="160" w:line="259" w:lineRule="auto"/>
            </w:pPr>
            <w:proofErr w:type="gramStart"/>
            <w:r>
              <w:t>Indien</w:t>
            </w:r>
            <w:proofErr w:type="gramEnd"/>
            <w:r>
              <w:t xml:space="preserve"> en </w:t>
            </w:r>
            <w:proofErr w:type="spellStart"/>
            <w:r>
              <w:t>voorzover</w:t>
            </w:r>
            <w:proofErr w:type="spellEnd"/>
            <w:r>
              <w:t xml:space="preserve"> Maatwerkprogrammatuur wordt overeengekomen, komen Leverancier en Opdrachtgever exclusief licentierecht overeen inclusief het gebruik hiervan door derden. Het betreft hier maatwerk dat specifiek ten behoeve en in opdracht van Opdrachtgever is ontwikkeld en waarvoor Leverancier volledige betaling heeft ontvangen. </w:t>
            </w:r>
          </w:p>
        </w:tc>
        <w:tc>
          <w:tcPr>
            <w:tcW w:w="2693" w:type="dxa"/>
          </w:tcPr>
          <w:p w14:paraId="4E4C56BF" w14:textId="14912CA8" w:rsidR="0087424A" w:rsidRDefault="0087424A" w:rsidP="00547B58"/>
        </w:tc>
      </w:tr>
      <w:tr w:rsidR="0087424A" w14:paraId="5E6E165F" w14:textId="2168333E" w:rsidTr="00F7011F">
        <w:tc>
          <w:tcPr>
            <w:tcW w:w="1442" w:type="dxa"/>
          </w:tcPr>
          <w:p w14:paraId="29E91119" w14:textId="71F7BB89" w:rsidR="0087424A" w:rsidRDefault="0087424A">
            <w:r>
              <w:t>20.5</w:t>
            </w:r>
          </w:p>
        </w:tc>
        <w:tc>
          <w:tcPr>
            <w:tcW w:w="2948" w:type="dxa"/>
          </w:tcPr>
          <w:p w14:paraId="6D41C4DF" w14:textId="77777777" w:rsidR="0087424A" w:rsidRPr="004E5C23" w:rsidRDefault="0087424A"/>
        </w:tc>
        <w:tc>
          <w:tcPr>
            <w:tcW w:w="3685" w:type="dxa"/>
          </w:tcPr>
          <w:p w14:paraId="39D21935" w14:textId="77777777" w:rsidR="0087424A" w:rsidRPr="004E5C23" w:rsidRDefault="0087424A">
            <w:r>
              <w:t xml:space="preserve">Toevoegen na laatste zin: </w:t>
            </w:r>
          </w:p>
          <w:p w14:paraId="0F2A8238" w14:textId="4A096044" w:rsidR="0087424A" w:rsidRPr="004E5C23" w:rsidRDefault="0087424A" w:rsidP="00EC0CE6">
            <w:r>
              <w:rPr>
                <w:rFonts w:ascii="Calibri" w:hAnsi="Calibri" w:cs="Calibri"/>
                <w:color w:val="000000"/>
              </w:rPr>
              <w:t xml:space="preserve"> Deze verplichting tot vrijwaring vervalt </w:t>
            </w:r>
            <w:proofErr w:type="gramStart"/>
            <w:r>
              <w:rPr>
                <w:rFonts w:ascii="Calibri" w:hAnsi="Calibri" w:cs="Calibri"/>
                <w:color w:val="000000"/>
              </w:rPr>
              <w:t>indien</w:t>
            </w:r>
            <w:proofErr w:type="gramEnd"/>
            <w:r>
              <w:rPr>
                <w:rFonts w:ascii="Calibri" w:hAnsi="Calibri" w:cs="Calibri"/>
                <w:color w:val="000000"/>
              </w:rPr>
              <w:t xml:space="preserve"> de verweten inbreuk verband houdt (i) met door de Opdrachtgever ter gebruik, bewerking, verwerking of incorporatie aan Opdrachtnemer ter beschikking gestelde materialen, dan wel (ii) met wijzigingen die de Opdrachtgever zonder schriftelijke toestemming van Opdrachtnemer in de ICT Prestatie, Programmatuur, databestanden, of </w:t>
            </w:r>
            <w:r>
              <w:rPr>
                <w:rFonts w:ascii="Calibri" w:hAnsi="Calibri" w:cs="Calibri"/>
                <w:color w:val="000000"/>
              </w:rPr>
              <w:lastRenderedPageBreak/>
              <w:t>andere materialen heeft aangebracht of door een derde heeft laten aanbrengen.</w:t>
            </w:r>
          </w:p>
        </w:tc>
        <w:tc>
          <w:tcPr>
            <w:tcW w:w="2693" w:type="dxa"/>
          </w:tcPr>
          <w:p w14:paraId="6CD264B3" w14:textId="77777777" w:rsidR="0087424A" w:rsidRDefault="0087424A"/>
        </w:tc>
      </w:tr>
      <w:tr w:rsidR="0087424A" w14:paraId="72B199CB" w14:textId="31536008" w:rsidTr="00F7011F">
        <w:tc>
          <w:tcPr>
            <w:tcW w:w="1442" w:type="dxa"/>
          </w:tcPr>
          <w:p w14:paraId="276EFEA7" w14:textId="20AFBADF" w:rsidR="0087424A" w:rsidRDefault="0087424A">
            <w:r>
              <w:t>20.8</w:t>
            </w:r>
          </w:p>
        </w:tc>
        <w:tc>
          <w:tcPr>
            <w:tcW w:w="2948" w:type="dxa"/>
          </w:tcPr>
          <w:p w14:paraId="682C022A" w14:textId="2B5CFC11" w:rsidR="0087424A" w:rsidRDefault="0087424A">
            <w:r w:rsidRPr="004E5C23">
              <w:t>In het geval derden Opdrachtgever ter zake van een beweerdelijke schending van intellectuele eigendomsrechten aansprakelijk stellen, is Opdrachtgever – onverminderd het voorgaande – gerechtigd om de Overeenkomst schriftelijk, buiten rechte geheel of gedeeltelijk te ontbinden. Een dergelijke ontbinding laat de overige rechten van Opdrachtgever onverlet.</w:t>
            </w:r>
          </w:p>
        </w:tc>
        <w:tc>
          <w:tcPr>
            <w:tcW w:w="3685" w:type="dxa"/>
          </w:tcPr>
          <w:p w14:paraId="7B5BF99E" w14:textId="08F1EB7E" w:rsidR="0087424A" w:rsidRDefault="0087424A">
            <w:r w:rsidRPr="004E5C23">
              <w:t>In het geval derden Opdrachtgever ter zake van een beweerdelijke schending van intellectuele eigendomsrechten aansprakelijk stellen</w:t>
            </w:r>
            <w:r>
              <w:t xml:space="preserve"> </w:t>
            </w:r>
            <w:r w:rsidRPr="00295DB7">
              <w:t>en in rechte onherroepelijk is</w:t>
            </w:r>
            <w:r>
              <w:t xml:space="preserve"> </w:t>
            </w:r>
            <w:r w:rsidRPr="0079442C">
              <w:t>komen vast te staan dat het betreffende deel van de door Leverancier zelf ontwikkelde ICT-prestatie inbreuk maak</w:t>
            </w:r>
            <w:r>
              <w:t xml:space="preserve"> </w:t>
            </w:r>
            <w:r w:rsidRPr="004E5C23">
              <w:t>, is Opdrachtgever – onverminderd het voorgaande – gerechtigd om de Overeenkomst schriftelijk, buiten rechte geheel of gedeeltelijk te ontbinden. Een dergelijke ontbinding laat de overige rechten van Opdrachtgever onverlet.</w:t>
            </w:r>
            <w:r>
              <w:t xml:space="preserve"> </w:t>
            </w:r>
          </w:p>
        </w:tc>
        <w:tc>
          <w:tcPr>
            <w:tcW w:w="2693" w:type="dxa"/>
          </w:tcPr>
          <w:p w14:paraId="128425FA" w14:textId="77777777" w:rsidR="0087424A" w:rsidRDefault="0087424A"/>
        </w:tc>
      </w:tr>
      <w:tr w:rsidR="0087424A" w14:paraId="42A39DA4" w14:textId="76BEC19E" w:rsidTr="00F7011F">
        <w:tc>
          <w:tcPr>
            <w:tcW w:w="1442" w:type="dxa"/>
          </w:tcPr>
          <w:p w14:paraId="26331393" w14:textId="78DCDC91" w:rsidR="0087424A" w:rsidRDefault="0087424A">
            <w:r>
              <w:t>22.1 iv)</w:t>
            </w:r>
          </w:p>
        </w:tc>
        <w:tc>
          <w:tcPr>
            <w:tcW w:w="2948" w:type="dxa"/>
          </w:tcPr>
          <w:p w14:paraId="1082ADF2" w14:textId="276F0803" w:rsidR="0087424A" w:rsidRDefault="0087424A">
            <w:r w:rsidRPr="00D11D4A">
              <w:t xml:space="preserve">voor zover er sprake is van afhankelijkheid tussen de </w:t>
            </w:r>
            <w:proofErr w:type="spellStart"/>
            <w:r w:rsidRPr="00D11D4A">
              <w:t>Derdenprogrammatuur</w:t>
            </w:r>
            <w:proofErr w:type="spellEnd"/>
            <w:r w:rsidRPr="00D11D4A">
              <w:t xml:space="preserve"> en de overige delen van de ICT Prestatie, duidelijk kenbaar maken waar die afhankelijkheid in is gelegen en welke effecten die afhankelijkheid heeft voor (de kwaliteit van) de door Leverancier te verlenen ICT Prestatie.</w:t>
            </w:r>
          </w:p>
        </w:tc>
        <w:tc>
          <w:tcPr>
            <w:tcW w:w="3685" w:type="dxa"/>
          </w:tcPr>
          <w:p w14:paraId="0057D198" w14:textId="52858ED4" w:rsidR="0087424A" w:rsidRDefault="0087424A">
            <w:r w:rsidRPr="00A86654">
              <w:t xml:space="preserve">voor zover er sprake is van afhankelijkheid tussen de </w:t>
            </w:r>
            <w:proofErr w:type="spellStart"/>
            <w:r w:rsidRPr="00A86654">
              <w:t>Derdenprogrammatuur</w:t>
            </w:r>
            <w:proofErr w:type="spellEnd"/>
            <w:r w:rsidRPr="00A86654">
              <w:t xml:space="preserve"> </w:t>
            </w:r>
            <w:r w:rsidRPr="00DC2C33">
              <w:t xml:space="preserve">uitsluitend op eerste verzoek van Opdrachtgever en </w:t>
            </w:r>
            <w:proofErr w:type="gramStart"/>
            <w:r w:rsidRPr="00DC2C33">
              <w:t>indien</w:t>
            </w:r>
            <w:proofErr w:type="gramEnd"/>
            <w:r w:rsidRPr="00DC2C33">
              <w:t xml:space="preserve"> en voor zover de ICT Prestatie afhankelijk  is van </w:t>
            </w:r>
            <w:proofErr w:type="spellStart"/>
            <w:r w:rsidRPr="00DC2C33">
              <w:t>Derdenprogrammatuur</w:t>
            </w:r>
            <w:proofErr w:type="spellEnd"/>
            <w:r w:rsidRPr="00DC2C33">
              <w:t>, zal Leverancier zulks uitdrukkelijk in het aanbod specificeren. Leverancier zal duidelijk kenbaar maken waar die afhankelijkheid in is gelegen en welke effecten die afhankelijkheid heeft voor (de kwaliteit van ) de door de Leverancier te verlenen ICT Prestatie</w:t>
            </w:r>
            <w:r>
              <w:t>.</w:t>
            </w:r>
          </w:p>
        </w:tc>
        <w:tc>
          <w:tcPr>
            <w:tcW w:w="2693" w:type="dxa"/>
          </w:tcPr>
          <w:p w14:paraId="44105BEE" w14:textId="77777777" w:rsidR="0087424A" w:rsidRDefault="0087424A"/>
        </w:tc>
      </w:tr>
      <w:tr w:rsidR="0087424A" w14:paraId="4F2D5D16" w14:textId="249024E6" w:rsidTr="00F7011F">
        <w:tc>
          <w:tcPr>
            <w:tcW w:w="1442" w:type="dxa"/>
          </w:tcPr>
          <w:p w14:paraId="1D8A2317" w14:textId="2EEFC4F8" w:rsidR="0087424A" w:rsidRDefault="0087424A">
            <w:r>
              <w:t>22.6</w:t>
            </w:r>
          </w:p>
        </w:tc>
        <w:tc>
          <w:tcPr>
            <w:tcW w:w="2948" w:type="dxa"/>
          </w:tcPr>
          <w:p w14:paraId="5770E047" w14:textId="0151105E" w:rsidR="0087424A" w:rsidRDefault="0087424A">
            <w:r w:rsidRPr="00A300FA">
              <w:t xml:space="preserve">Het bepaalde in artikel </w:t>
            </w:r>
            <w:r>
              <w:t>22</w:t>
            </w:r>
            <w:r w:rsidRPr="00A300FA">
              <w:t xml:space="preserve">.3 en </w:t>
            </w:r>
            <w:r>
              <w:t>22</w:t>
            </w:r>
            <w:r w:rsidRPr="00A300FA">
              <w:t xml:space="preserve">.5 is uitsluitend van toepassing indien Leverancier heeft voldaan aan de in artikel </w:t>
            </w:r>
            <w:r>
              <w:t>22</w:t>
            </w:r>
            <w:r w:rsidRPr="00A300FA">
              <w:t>.1 bedoelde informatieverplichtingen.</w:t>
            </w:r>
          </w:p>
        </w:tc>
        <w:tc>
          <w:tcPr>
            <w:tcW w:w="3685" w:type="dxa"/>
          </w:tcPr>
          <w:p w14:paraId="2058E31B" w14:textId="7E02A28D" w:rsidR="0087424A" w:rsidRDefault="0087424A">
            <w:r w:rsidRPr="00D27391">
              <w:t xml:space="preserve">Het bepaalde in artikel </w:t>
            </w:r>
            <w:r>
              <w:t>22</w:t>
            </w:r>
            <w:r w:rsidRPr="00D27391">
              <w:t xml:space="preserve">.3 en </w:t>
            </w:r>
            <w:r>
              <w:t>22</w:t>
            </w:r>
            <w:r w:rsidRPr="00D27391">
              <w:t xml:space="preserve">.5 is uitsluitend van toepassing indien Leverancier heeft voldaan aan de in artikel </w:t>
            </w:r>
            <w:r>
              <w:t>22</w:t>
            </w:r>
            <w:r w:rsidRPr="00D27391">
              <w:t>.1</w:t>
            </w:r>
            <w:r>
              <w:t xml:space="preserve"> </w:t>
            </w:r>
            <w:r w:rsidRPr="00D27391">
              <w:t>sub II bedoelde informatieverplichting.</w:t>
            </w:r>
          </w:p>
        </w:tc>
        <w:tc>
          <w:tcPr>
            <w:tcW w:w="2693" w:type="dxa"/>
          </w:tcPr>
          <w:p w14:paraId="0D0D3816" w14:textId="77777777" w:rsidR="0087424A" w:rsidRDefault="0087424A"/>
        </w:tc>
      </w:tr>
      <w:tr w:rsidR="0087424A" w14:paraId="17BC1385" w14:textId="44E6B3A9" w:rsidTr="00F7011F">
        <w:tc>
          <w:tcPr>
            <w:tcW w:w="1442" w:type="dxa"/>
          </w:tcPr>
          <w:p w14:paraId="0FD6A14E" w14:textId="489B44C2" w:rsidR="0087424A" w:rsidRDefault="0087424A">
            <w:r>
              <w:t>24</w:t>
            </w:r>
          </w:p>
        </w:tc>
        <w:tc>
          <w:tcPr>
            <w:tcW w:w="2948" w:type="dxa"/>
          </w:tcPr>
          <w:p w14:paraId="37F6E23C" w14:textId="0EF15233" w:rsidR="0087424A" w:rsidRDefault="0087424A">
            <w:r w:rsidRPr="002814D6">
              <w:t>2</w:t>
            </w:r>
            <w:r>
              <w:t>4</w:t>
            </w:r>
            <w:r w:rsidRPr="002814D6">
              <w:t>.1</w:t>
            </w:r>
            <w:r w:rsidRPr="002814D6">
              <w:tab/>
              <w:t>Leverancier is niet gerechtigd zijn verplichtingen op te schorten dan na het sturen van een ingebrekestelling, waarin aan Opdrachtgever een redelijke termijn van minimaal 30 dagen wordt geboden om alsnog aan de verplichtingen te voldoen.</w:t>
            </w:r>
          </w:p>
        </w:tc>
        <w:tc>
          <w:tcPr>
            <w:tcW w:w="3685" w:type="dxa"/>
          </w:tcPr>
          <w:p w14:paraId="1551FAC8" w14:textId="569CABC3" w:rsidR="0087424A" w:rsidRDefault="0087424A">
            <w:r w:rsidRPr="003209DA">
              <w:t xml:space="preserve">Partijen zijn over en weer niet gerechtigd hun verplichtingen op te schorten dan na het sturen van een ingebrekestelling, waarin aan de andere partij een redelijke termijn </w:t>
            </w:r>
            <w:proofErr w:type="gramStart"/>
            <w:r w:rsidRPr="003209DA">
              <w:t>(….</w:t>
            </w:r>
            <w:proofErr w:type="gramEnd"/>
            <w:r w:rsidRPr="003209DA">
              <w:t>)</w:t>
            </w:r>
          </w:p>
        </w:tc>
        <w:tc>
          <w:tcPr>
            <w:tcW w:w="2693" w:type="dxa"/>
          </w:tcPr>
          <w:p w14:paraId="050E7C1D" w14:textId="77777777" w:rsidR="0087424A" w:rsidRDefault="0087424A"/>
        </w:tc>
      </w:tr>
      <w:tr w:rsidR="0087424A" w14:paraId="2612CBEA" w14:textId="10689D91" w:rsidTr="00F7011F">
        <w:tc>
          <w:tcPr>
            <w:tcW w:w="1442" w:type="dxa"/>
          </w:tcPr>
          <w:p w14:paraId="1F19526B" w14:textId="0A6D2790" w:rsidR="0087424A" w:rsidRDefault="0087424A">
            <w:r>
              <w:t>24.3</w:t>
            </w:r>
          </w:p>
        </w:tc>
        <w:tc>
          <w:tcPr>
            <w:tcW w:w="2948" w:type="dxa"/>
          </w:tcPr>
          <w:p w14:paraId="297B9B41" w14:textId="64DF11EC" w:rsidR="0087424A" w:rsidRDefault="0087424A">
            <w:r w:rsidRPr="009C0B43">
              <w:t xml:space="preserve">Ook als meerdere Overeenkomsten onderlinge samenhang vertonen (bijv. </w:t>
            </w:r>
            <w:r w:rsidRPr="009C0B43">
              <w:lastRenderedPageBreak/>
              <w:t>een licentie- en een onderhoudsovereenkomst), is Opdrachtgever niettemin gerechtigd slechts een deel van de Overeenkomsten (selectief) op te zeggen tegen het einde van de dan actuele looptijd en met inachtneming van een opzegtermijn van drie (3) maanden. Een dergelijke opzegging heeft overigens geen effect op de overige samenhangende Overeenkomsten.</w:t>
            </w:r>
          </w:p>
        </w:tc>
        <w:tc>
          <w:tcPr>
            <w:tcW w:w="3685" w:type="dxa"/>
          </w:tcPr>
          <w:p w14:paraId="05FFD1ED" w14:textId="4DAEA45F" w:rsidR="0087424A" w:rsidRDefault="0087424A">
            <w:r>
              <w:lastRenderedPageBreak/>
              <w:t>Na laatste zin toevoegen: De ond</w:t>
            </w:r>
            <w:r w:rsidRPr="00F842D7">
              <w:t xml:space="preserve">erhoudsovereenkomst </w:t>
            </w:r>
            <w:r>
              <w:t xml:space="preserve">kan </w:t>
            </w:r>
            <w:r w:rsidRPr="00F842D7">
              <w:t xml:space="preserve">niet </w:t>
            </w:r>
            <w:r w:rsidRPr="00F842D7">
              <w:lastRenderedPageBreak/>
              <w:t xml:space="preserve">separaat van het Gebruiksrecht worden opgezegd. </w:t>
            </w:r>
          </w:p>
        </w:tc>
        <w:tc>
          <w:tcPr>
            <w:tcW w:w="2693" w:type="dxa"/>
          </w:tcPr>
          <w:p w14:paraId="4225253F" w14:textId="77777777" w:rsidR="0087424A" w:rsidRDefault="0087424A"/>
        </w:tc>
      </w:tr>
      <w:tr w:rsidR="008E58BB" w14:paraId="1827E550" w14:textId="77777777" w:rsidTr="00F7011F">
        <w:tc>
          <w:tcPr>
            <w:tcW w:w="1442" w:type="dxa"/>
          </w:tcPr>
          <w:p w14:paraId="6B7F7979" w14:textId="61C4BA08" w:rsidR="008E58BB" w:rsidRDefault="008E58BB" w:rsidP="0087424A">
            <w:r>
              <w:t>24.10</w:t>
            </w:r>
          </w:p>
        </w:tc>
        <w:tc>
          <w:tcPr>
            <w:tcW w:w="2948" w:type="dxa"/>
          </w:tcPr>
          <w:p w14:paraId="17251450" w14:textId="245EBB57" w:rsidR="008E58BB" w:rsidRPr="008E58BB" w:rsidRDefault="008E58BB" w:rsidP="008E58BB">
            <w:pPr>
              <w:autoSpaceDE w:val="0"/>
              <w:autoSpaceDN w:val="0"/>
              <w:adjustRightInd w:val="0"/>
              <w:rPr>
                <w:rFonts w:cstheme="minorHAnsi"/>
                <w:sz w:val="20"/>
                <w:szCs w:val="20"/>
              </w:rPr>
            </w:pPr>
            <w:r w:rsidRPr="008E58BB">
              <w:rPr>
                <w:rFonts w:cstheme="minorHAnsi"/>
                <w:sz w:val="20"/>
                <w:szCs w:val="20"/>
              </w:rPr>
              <w:t>Onverminderd hetgeen overigens in de Overeenkomst is vastgelegd, of uit de wet voortvloeit, kan elk van de partijen de Overeenkomst door middel van een aangetekend</w:t>
            </w:r>
          </w:p>
          <w:p w14:paraId="14640CD2" w14:textId="13A8F804" w:rsidR="008E58BB" w:rsidRPr="008E58BB" w:rsidRDefault="008E58BB" w:rsidP="008E58BB">
            <w:pPr>
              <w:autoSpaceDE w:val="0"/>
              <w:autoSpaceDN w:val="0"/>
              <w:adjustRightInd w:val="0"/>
              <w:rPr>
                <w:rFonts w:cstheme="minorHAnsi"/>
                <w:sz w:val="20"/>
                <w:szCs w:val="20"/>
              </w:rPr>
            </w:pPr>
            <w:r w:rsidRPr="008E58BB">
              <w:rPr>
                <w:rFonts w:cstheme="minorHAnsi"/>
                <w:sz w:val="20"/>
                <w:szCs w:val="20"/>
              </w:rPr>
              <w:t xml:space="preserve">schrijven buiten rechte geheel of gedeeltelijk ontbinden </w:t>
            </w:r>
            <w:proofErr w:type="gramStart"/>
            <w:r w:rsidRPr="008E58BB">
              <w:rPr>
                <w:rFonts w:cstheme="minorHAnsi"/>
                <w:sz w:val="20"/>
                <w:szCs w:val="20"/>
              </w:rPr>
              <w:t>indien</w:t>
            </w:r>
            <w:proofErr w:type="gramEnd"/>
            <w:r w:rsidRPr="008E58BB">
              <w:rPr>
                <w:rFonts w:cstheme="minorHAnsi"/>
                <w:sz w:val="20"/>
                <w:szCs w:val="20"/>
              </w:rPr>
              <w:t xml:space="preserve"> de andere partij in verzuim is dan wel een van de overige situaties bedoeld in lid 9 zich voordoet.</w:t>
            </w:r>
          </w:p>
        </w:tc>
        <w:tc>
          <w:tcPr>
            <w:tcW w:w="3685" w:type="dxa"/>
          </w:tcPr>
          <w:p w14:paraId="77977954" w14:textId="36D31B6B" w:rsidR="008E58BB" w:rsidRPr="008E58BB" w:rsidRDefault="008E58BB" w:rsidP="008E58BB">
            <w:pPr>
              <w:autoSpaceDE w:val="0"/>
              <w:autoSpaceDN w:val="0"/>
              <w:adjustRightInd w:val="0"/>
            </w:pPr>
            <w:r w:rsidRPr="008E58BB">
              <w:rPr>
                <w:rFonts w:cstheme="minorHAnsi"/>
              </w:rPr>
              <w:t xml:space="preserve">Onverminderd hetgeen overigens in de Overeenkomst is vastgelegd, of uit de wet voortvloeit, kan elk van de partijen de Overeenkomst door middel van een aangetekend schrijven buiten rechte geheel of gedeeltelijk ontbinden </w:t>
            </w:r>
            <w:proofErr w:type="gramStart"/>
            <w:r w:rsidRPr="008E58BB">
              <w:rPr>
                <w:rFonts w:cstheme="minorHAnsi"/>
              </w:rPr>
              <w:t>indien</w:t>
            </w:r>
            <w:proofErr w:type="gramEnd"/>
            <w:r w:rsidRPr="008E58BB">
              <w:rPr>
                <w:rFonts w:cstheme="minorHAnsi"/>
              </w:rPr>
              <w:t xml:space="preserve"> de andere partij in verzuim is.</w:t>
            </w:r>
          </w:p>
          <w:p w14:paraId="72C89B74" w14:textId="16018A2F" w:rsidR="008E58BB" w:rsidRDefault="008E58BB" w:rsidP="008E58BB">
            <w:proofErr w:type="gramStart"/>
            <w:r>
              <w:t>Indien</w:t>
            </w:r>
            <w:proofErr w:type="gramEnd"/>
            <w:r>
              <w:t xml:space="preserve"> een partij de ontbinding van de Overeenkomst inroept, worden de reeds door Leverancier uitgevoerde werkzaamheden, verrichte leveringen en diensten afgerekend naar de stand van het werk op het moment van de ontbinding. Indien Opdrachtgever op het moment van de ontbinding </w:t>
            </w:r>
            <w:proofErr w:type="gramStart"/>
            <w:r>
              <w:t>reeds</w:t>
            </w:r>
            <w:proofErr w:type="gramEnd"/>
            <w:r>
              <w:t xml:space="preserve"> prestaties ter uitvoering van de Overeenkomst heeft ontvangen, zullen deze prestaties en de daarmee samenhangende </w:t>
            </w:r>
          </w:p>
          <w:p w14:paraId="15009D0A" w14:textId="77777777" w:rsidR="008E58BB" w:rsidRDefault="008E58BB" w:rsidP="008E58BB">
            <w:r>
              <w:t xml:space="preserve">betalingsverplichtingen geen voorwerp van </w:t>
            </w:r>
            <w:proofErr w:type="spellStart"/>
            <w:r>
              <w:t>ongedaanmaking</w:t>
            </w:r>
            <w:proofErr w:type="spellEnd"/>
            <w:r>
              <w:t xml:space="preserve"> zijn. </w:t>
            </w:r>
          </w:p>
          <w:p w14:paraId="5D4CA37D" w14:textId="2AD3721E" w:rsidR="008E58BB" w:rsidRPr="004C7BE7" w:rsidRDefault="008E58BB" w:rsidP="008E58BB">
            <w:r>
              <w:t xml:space="preserve">Bedragen die betrekking hebben op prestaties die Leverancier vóór de ontbinding heeft gefactureerd in verband met hetgeen hij ter uitvoering van de Overeenkomst </w:t>
            </w:r>
            <w:proofErr w:type="gramStart"/>
            <w:r>
              <w:t>reeds</w:t>
            </w:r>
            <w:proofErr w:type="gramEnd"/>
            <w:r>
              <w:t xml:space="preserve"> heeft verricht of geleverd, blijven onverminderd verschuldigd en worden op het moment van de ontbinding direct opeisbaar.</w:t>
            </w:r>
          </w:p>
        </w:tc>
        <w:tc>
          <w:tcPr>
            <w:tcW w:w="2693" w:type="dxa"/>
          </w:tcPr>
          <w:p w14:paraId="6028CC06" w14:textId="77777777" w:rsidR="008E58BB" w:rsidRDefault="008E58BB"/>
        </w:tc>
      </w:tr>
      <w:tr w:rsidR="0087424A" w14:paraId="421A45C0" w14:textId="6FD7E568" w:rsidTr="00F7011F">
        <w:tc>
          <w:tcPr>
            <w:tcW w:w="1442" w:type="dxa"/>
          </w:tcPr>
          <w:p w14:paraId="3C9A8B44" w14:textId="6D4E0E0B" w:rsidR="0087424A" w:rsidRDefault="0087424A" w:rsidP="0087424A">
            <w:r>
              <w:t>25.1</w:t>
            </w:r>
          </w:p>
        </w:tc>
        <w:tc>
          <w:tcPr>
            <w:tcW w:w="2948" w:type="dxa"/>
          </w:tcPr>
          <w:p w14:paraId="0FDD8A72" w14:textId="7E7B1AEC" w:rsidR="0087424A" w:rsidRDefault="0087424A">
            <w:r w:rsidRPr="001762F3">
              <w:t xml:space="preserve">Opdrachtgever is gerechtigd de naleving door Leverancier van de wezenlijke verplichtingen uit hoofde van de Overeenkomst, de GIBIT 2020 en de daarmee </w:t>
            </w:r>
            <w:r w:rsidRPr="001762F3">
              <w:lastRenderedPageBreak/>
              <w:t xml:space="preserve">samenhangende overeenkomsten (SLA, verwerkersovereenkomst, etc.), </w:t>
            </w:r>
            <w:proofErr w:type="gramStart"/>
            <w:r w:rsidRPr="001762F3">
              <w:t>alsmede</w:t>
            </w:r>
            <w:proofErr w:type="gramEnd"/>
            <w:r w:rsidRPr="001762F3">
              <w:t xml:space="preserve"> de juistheid van toegezonden facturen, binnen een redelijke termijn door een onafhankelijke ter zake deskundige aan geheimhouding gebonden derde te laten controleren.</w:t>
            </w:r>
          </w:p>
        </w:tc>
        <w:tc>
          <w:tcPr>
            <w:tcW w:w="3685" w:type="dxa"/>
          </w:tcPr>
          <w:p w14:paraId="4114E99E" w14:textId="25BD602C" w:rsidR="0087424A" w:rsidRDefault="0087424A">
            <w:r w:rsidRPr="004C7BE7">
              <w:lastRenderedPageBreak/>
              <w:t xml:space="preserve">Opdrachtgever zal Leverancier echter eerst in staat stellen nadere informatie te verstrekken waarmee Opdrachtgever bedoelde naleving kan vaststellen, waaronder relevante certificaten of verklaringen van </w:t>
            </w:r>
            <w:r w:rsidRPr="004C7BE7">
              <w:lastRenderedPageBreak/>
              <w:t>derden (</w:t>
            </w:r>
            <w:proofErr w:type="spellStart"/>
            <w:r w:rsidRPr="004C7BE7">
              <w:t>Third</w:t>
            </w:r>
            <w:proofErr w:type="spellEnd"/>
            <w:r w:rsidRPr="004C7BE7">
              <w:t xml:space="preserve"> Party Memorandum). Indien Opdrachtgever desondanks aanleiding heeft aan te nemen dat niet wezenlijk </w:t>
            </w:r>
            <w:proofErr w:type="gramStart"/>
            <w:r w:rsidRPr="004C7BE7">
              <w:t>conform</w:t>
            </w:r>
            <w:proofErr w:type="gramEnd"/>
            <w:r w:rsidRPr="004C7BE7">
              <w:t xml:space="preserve"> de Overeenkomst wordt nagekomen, dan kan hij maximaal éénmaal per jaar door een onafhankelijke, gecertificeerde, externe</w:t>
            </w:r>
            <w:r>
              <w:t xml:space="preserve"> deskundige </w:t>
            </w:r>
            <w:r w:rsidRPr="004C7BE7">
              <w:t>die aantoonbaar ervaring heeft met de te leveren ICT Prestatie een audit laten uitvoeren. De audit zal beperkt zijn tot het controleren van de naleving van de verplichtingen uit de Overeenkomst. De deskundige zal een geheimhoudingsplicht hebben ten aanzien van hetgeen hij aantreft en zal alleen datgene rapporteren aan Opdrachtgever dat een tekortkoming oplevert in de nakoming van verplichtingen die Leverancier heeft op grond van de Overeenkomst. De deskundige zal een afschrift van zijn rapport aan Leverancier verstrekken.</w:t>
            </w:r>
          </w:p>
        </w:tc>
        <w:tc>
          <w:tcPr>
            <w:tcW w:w="2693" w:type="dxa"/>
          </w:tcPr>
          <w:p w14:paraId="5A5320B2" w14:textId="77777777" w:rsidR="0087424A" w:rsidRDefault="0087424A"/>
        </w:tc>
      </w:tr>
      <w:tr w:rsidR="008E58BB" w14:paraId="75844CBC" w14:textId="77777777" w:rsidTr="00F7011F">
        <w:tc>
          <w:tcPr>
            <w:tcW w:w="1442" w:type="dxa"/>
          </w:tcPr>
          <w:p w14:paraId="3B7816CA" w14:textId="0D12F4A8" w:rsidR="008E58BB" w:rsidRDefault="008E58BB">
            <w:r>
              <w:t>26.5</w:t>
            </w:r>
          </w:p>
        </w:tc>
        <w:tc>
          <w:tcPr>
            <w:tcW w:w="2948" w:type="dxa"/>
          </w:tcPr>
          <w:p w14:paraId="090F082C" w14:textId="77777777" w:rsidR="008E58BB" w:rsidRDefault="008E58BB"/>
        </w:tc>
        <w:tc>
          <w:tcPr>
            <w:tcW w:w="3685" w:type="dxa"/>
          </w:tcPr>
          <w:p w14:paraId="20B929B9" w14:textId="77777777" w:rsidR="008E58BB" w:rsidRDefault="008E58BB"/>
        </w:tc>
        <w:tc>
          <w:tcPr>
            <w:tcW w:w="2693" w:type="dxa"/>
          </w:tcPr>
          <w:p w14:paraId="66C6B2B0" w14:textId="6F4EA077" w:rsidR="008E58BB" w:rsidRDefault="0010282F" w:rsidP="008E58BB">
            <w:r>
              <w:t xml:space="preserve">Opdrachtgever gaat er vanuit dat </w:t>
            </w:r>
            <w:r w:rsidR="008E58BB">
              <w:t xml:space="preserve">Leverancier als onderdeel van haar </w:t>
            </w:r>
            <w:proofErr w:type="spellStart"/>
            <w:r w:rsidR="008E58BB">
              <w:t>cloud</w:t>
            </w:r>
            <w:proofErr w:type="spellEnd"/>
            <w:r w:rsidR="008E58BB">
              <w:t xml:space="preserve"> dienstverlening een standaard gangbaar formaat ter beschikking stelt bij een exit. </w:t>
            </w:r>
          </w:p>
          <w:p w14:paraId="7A825859" w14:textId="0F0782E2" w:rsidR="008E58BB" w:rsidRDefault="008E58BB" w:rsidP="0010282F">
            <w:r>
              <w:t>Afwijkingen op dit formaat zullen moeten worden beoordeeld op</w:t>
            </w:r>
            <w:r w:rsidR="0010282F">
              <w:t xml:space="preserve"> </w:t>
            </w:r>
            <w:r>
              <w:t>haalbaarheid en zullen tegen de dan geldende tarieven worden verrekend. Een en ander zal worden opgenomen in een exit-plan.</w:t>
            </w:r>
          </w:p>
        </w:tc>
      </w:tr>
      <w:tr w:rsidR="008E58BB" w14:paraId="71FA7B4E" w14:textId="77777777" w:rsidTr="00F7011F">
        <w:tc>
          <w:tcPr>
            <w:tcW w:w="1442" w:type="dxa"/>
          </w:tcPr>
          <w:p w14:paraId="46F0287D" w14:textId="2B9D7A0B" w:rsidR="008E58BB" w:rsidRDefault="008E58BB">
            <w:r>
              <w:t>26.8</w:t>
            </w:r>
          </w:p>
        </w:tc>
        <w:tc>
          <w:tcPr>
            <w:tcW w:w="2948" w:type="dxa"/>
          </w:tcPr>
          <w:p w14:paraId="064E2233" w14:textId="77777777" w:rsidR="008E58BB" w:rsidRDefault="008E58BB"/>
        </w:tc>
        <w:tc>
          <w:tcPr>
            <w:tcW w:w="3685" w:type="dxa"/>
          </w:tcPr>
          <w:p w14:paraId="7E82A962" w14:textId="77777777" w:rsidR="008E58BB" w:rsidRDefault="008E58BB"/>
        </w:tc>
        <w:tc>
          <w:tcPr>
            <w:tcW w:w="2693" w:type="dxa"/>
          </w:tcPr>
          <w:p w14:paraId="255D1C39" w14:textId="0B98FED3" w:rsidR="008E58BB" w:rsidRDefault="0010282F" w:rsidP="008E58BB">
            <w:r>
              <w:t xml:space="preserve">Opdrachtgever gaat er vanuit dat </w:t>
            </w:r>
            <w:r w:rsidR="008E58BB">
              <w:t xml:space="preserve">Leverancier bereid </w:t>
            </w:r>
            <w:r>
              <w:t xml:space="preserve">is </w:t>
            </w:r>
            <w:r w:rsidR="008E58BB">
              <w:t>om de</w:t>
            </w:r>
            <w:r w:rsidR="005B2BDE">
              <w:t xml:space="preserve"> </w:t>
            </w:r>
            <w:r w:rsidR="008E58BB">
              <w:t xml:space="preserve">Overeenkomst onder dezelfde voorwaarden voort te zetten voor een beperkte duur, zoals geregeld in </w:t>
            </w:r>
          </w:p>
          <w:p w14:paraId="75A910E8" w14:textId="00106C96" w:rsidR="008E58BB" w:rsidRDefault="008E58BB" w:rsidP="008E58BB">
            <w:r>
              <w:t>artikel 26.11.</w:t>
            </w:r>
          </w:p>
        </w:tc>
      </w:tr>
      <w:tr w:rsidR="0087424A" w14:paraId="567B4F52" w14:textId="588718F7" w:rsidTr="00F7011F">
        <w:tc>
          <w:tcPr>
            <w:tcW w:w="1442" w:type="dxa"/>
          </w:tcPr>
          <w:p w14:paraId="101B4E63" w14:textId="482DFD69" w:rsidR="0087424A" w:rsidRDefault="0087424A">
            <w:r>
              <w:t>26.9</w:t>
            </w:r>
          </w:p>
        </w:tc>
        <w:tc>
          <w:tcPr>
            <w:tcW w:w="2948" w:type="dxa"/>
          </w:tcPr>
          <w:p w14:paraId="029AE823" w14:textId="77777777" w:rsidR="0087424A" w:rsidRDefault="0087424A"/>
        </w:tc>
        <w:tc>
          <w:tcPr>
            <w:tcW w:w="3685" w:type="dxa"/>
          </w:tcPr>
          <w:p w14:paraId="0BC834B9" w14:textId="3019449F" w:rsidR="0087424A" w:rsidRDefault="0087424A">
            <w:r>
              <w:t>Komt te vervallen</w:t>
            </w:r>
          </w:p>
        </w:tc>
        <w:tc>
          <w:tcPr>
            <w:tcW w:w="2693" w:type="dxa"/>
          </w:tcPr>
          <w:p w14:paraId="1A9B64EB" w14:textId="77777777" w:rsidR="0087424A" w:rsidRDefault="0087424A"/>
        </w:tc>
      </w:tr>
      <w:tr w:rsidR="005B2BDE" w14:paraId="3D3D2F40" w14:textId="77777777" w:rsidTr="00F7011F">
        <w:tc>
          <w:tcPr>
            <w:tcW w:w="1442" w:type="dxa"/>
          </w:tcPr>
          <w:p w14:paraId="06E7F18D" w14:textId="3D8AD09D" w:rsidR="005B2BDE" w:rsidRDefault="005B2BDE">
            <w:r>
              <w:t>26.10</w:t>
            </w:r>
          </w:p>
        </w:tc>
        <w:tc>
          <w:tcPr>
            <w:tcW w:w="2948" w:type="dxa"/>
          </w:tcPr>
          <w:p w14:paraId="0B2A56FD" w14:textId="77777777" w:rsidR="005B2BDE" w:rsidRDefault="005B2BDE"/>
        </w:tc>
        <w:tc>
          <w:tcPr>
            <w:tcW w:w="3685" w:type="dxa"/>
          </w:tcPr>
          <w:p w14:paraId="7257D431" w14:textId="77777777" w:rsidR="005B2BDE" w:rsidRDefault="005B2BDE"/>
        </w:tc>
        <w:tc>
          <w:tcPr>
            <w:tcW w:w="2693" w:type="dxa"/>
          </w:tcPr>
          <w:p w14:paraId="2E74430E" w14:textId="299C963B" w:rsidR="005B2BDE" w:rsidRDefault="005B2BDE" w:rsidP="005B2BDE">
            <w:r>
              <w:t xml:space="preserve">Opdrachtgever gaat er vanuit dat Leverancier haar </w:t>
            </w:r>
            <w:r>
              <w:lastRenderedPageBreak/>
              <w:t>toestemming verbindt aan overdracht van de ICT Prestatie aan een andere contractant. Deze toestemming zal niet op onredelijke gronden worden onthouden.</w:t>
            </w:r>
          </w:p>
        </w:tc>
      </w:tr>
      <w:tr w:rsidR="0087424A" w14:paraId="2D2BFE12" w14:textId="3B50F43A" w:rsidTr="00F7011F">
        <w:tc>
          <w:tcPr>
            <w:tcW w:w="1442" w:type="dxa"/>
          </w:tcPr>
          <w:p w14:paraId="637A9973" w14:textId="00E7AE6E" w:rsidR="0087424A" w:rsidRDefault="0087424A">
            <w:r>
              <w:lastRenderedPageBreak/>
              <w:t>26.11</w:t>
            </w:r>
          </w:p>
        </w:tc>
        <w:tc>
          <w:tcPr>
            <w:tcW w:w="2948" w:type="dxa"/>
          </w:tcPr>
          <w:p w14:paraId="715DC164" w14:textId="21C5BFB9" w:rsidR="0087424A" w:rsidRDefault="0087424A">
            <w:r w:rsidRPr="00B47FCC">
              <w:t xml:space="preserve">Leverancier verklaart zich voorts bereid om Opdrachtgever desgewenst toe te staan het gebruik van de ICT Prestatie na de beëindigingsdatum voor een redelijke periode te verlengen, </w:t>
            </w:r>
            <w:proofErr w:type="gramStart"/>
            <w:r w:rsidRPr="00B47FCC">
              <w:t>indien</w:t>
            </w:r>
            <w:proofErr w:type="gramEnd"/>
            <w:r w:rsidRPr="00B47FCC">
              <w:t xml:space="preserve"> de werkzaamheden overeenkomstig het Exit-plan niet tijdig zijn afgerond. Hiervoor zal een vergoeding in rekening    worden gebracht naar rato van de laatst geldende gebruiksvergoedingen (waarbij noodzakelijke verlengingen van </w:t>
            </w:r>
            <w:proofErr w:type="spellStart"/>
            <w:r w:rsidRPr="00B47FCC">
              <w:t>Derdenprogrammatuur</w:t>
            </w:r>
            <w:proofErr w:type="spellEnd"/>
            <w:r w:rsidRPr="00B47FCC">
              <w:t xml:space="preserve"> volledig kunnen worden doorbelast), tenzij de niet-tijdige afronding van de Exit- werkzaamheden toerekenbaar is aan Leverancier (de verlenging is dan kosteloos).</w:t>
            </w:r>
          </w:p>
        </w:tc>
        <w:tc>
          <w:tcPr>
            <w:tcW w:w="3685" w:type="dxa"/>
          </w:tcPr>
          <w:p w14:paraId="34D119C2" w14:textId="2EB25BBE" w:rsidR="0087424A" w:rsidRDefault="0087424A">
            <w:r w:rsidRPr="00DD3D84">
              <w:t xml:space="preserve">Leverancier verklaart zich voorts bereid om Opdrachtgever desgewenst toe te staan het gebruik van de ICT Prestatie na de beëindigingsdatum voor een periode van twaalf maanden, tenzij anders overeengekomen, te verlengen, </w:t>
            </w:r>
            <w:proofErr w:type="gramStart"/>
            <w:r w:rsidRPr="00DD3D84">
              <w:t>indien</w:t>
            </w:r>
            <w:proofErr w:type="gramEnd"/>
            <w:r w:rsidRPr="00DD3D84">
              <w:t xml:space="preserve"> de werkzaamheden overeenkomstig het Exit-plan niet tijdig zijn afgerond. Hiervoor zal een vergoeding in rekening    worden gebracht naar rato van de laatst geldende vergoedingen, tenzij Opdrachtgever en Leverancier met elkaar vaststellen dat de niet-tijdige afronding van de Exit- werkzaamheden toerekenbaar is aan Leverancier (de verlenging is dan kosteloos). De onderhavige Overeenkomst blijft gedurende voornoemde verlenging onverminderd van kracht. Gebruiksrechten ter zake van </w:t>
            </w:r>
            <w:proofErr w:type="spellStart"/>
            <w:r w:rsidRPr="00DD3D84">
              <w:t>Derdenprogrammatuur</w:t>
            </w:r>
            <w:proofErr w:type="spellEnd"/>
            <w:r w:rsidRPr="00DD3D84">
              <w:t xml:space="preserve"> en daarmee samenhangende diensten zijn uitgezonderd van de werking van dit artikel.</w:t>
            </w:r>
          </w:p>
        </w:tc>
        <w:tc>
          <w:tcPr>
            <w:tcW w:w="2693" w:type="dxa"/>
          </w:tcPr>
          <w:p w14:paraId="54D5E7D7" w14:textId="77777777" w:rsidR="0087424A" w:rsidRDefault="0087424A"/>
        </w:tc>
      </w:tr>
      <w:tr w:rsidR="005B2BDE" w14:paraId="1BCCE709" w14:textId="77777777" w:rsidTr="00F7011F">
        <w:tc>
          <w:tcPr>
            <w:tcW w:w="1442" w:type="dxa"/>
          </w:tcPr>
          <w:p w14:paraId="0833F1DE" w14:textId="3300B07D" w:rsidR="005B2BDE" w:rsidRDefault="005B2BDE">
            <w:r>
              <w:t>30.3</w:t>
            </w:r>
          </w:p>
        </w:tc>
        <w:tc>
          <w:tcPr>
            <w:tcW w:w="2948" w:type="dxa"/>
          </w:tcPr>
          <w:p w14:paraId="4BD27FE1" w14:textId="77777777" w:rsidR="005B2BDE" w:rsidRPr="00B47FCC" w:rsidRDefault="005B2BDE"/>
        </w:tc>
        <w:tc>
          <w:tcPr>
            <w:tcW w:w="3685" w:type="dxa"/>
          </w:tcPr>
          <w:p w14:paraId="6580B759" w14:textId="56651B87" w:rsidR="005B2BDE" w:rsidRPr="00DD3D84" w:rsidRDefault="005B2BDE">
            <w:r>
              <w:t>Komt te vervallen</w:t>
            </w:r>
          </w:p>
        </w:tc>
        <w:tc>
          <w:tcPr>
            <w:tcW w:w="2693" w:type="dxa"/>
          </w:tcPr>
          <w:p w14:paraId="1606BEA8" w14:textId="32FBF9C9" w:rsidR="005B2BDE" w:rsidRDefault="005B2BDE">
            <w:r w:rsidRPr="005B2BDE">
              <w:t>In de aanbesteding wordt een koppeling uitgevraagd met het bestaande archiefsysteem.</w:t>
            </w:r>
          </w:p>
        </w:tc>
      </w:tr>
      <w:tr w:rsidR="005B2BDE" w:rsidRPr="005B2BDE" w14:paraId="24B1AA8B" w14:textId="77777777" w:rsidTr="00F7011F">
        <w:tc>
          <w:tcPr>
            <w:tcW w:w="1442" w:type="dxa"/>
          </w:tcPr>
          <w:p w14:paraId="6F8301AE" w14:textId="74A3F9DF" w:rsidR="005B2BDE" w:rsidRPr="005B2BDE" w:rsidRDefault="005B2BDE">
            <w:r w:rsidRPr="005B2BDE">
              <w:t>35</w:t>
            </w:r>
            <w:r>
              <w:t>.1</w:t>
            </w:r>
          </w:p>
        </w:tc>
        <w:tc>
          <w:tcPr>
            <w:tcW w:w="2948" w:type="dxa"/>
          </w:tcPr>
          <w:p w14:paraId="0FE467F3" w14:textId="77777777" w:rsidR="005B2BDE" w:rsidRPr="005B2BDE" w:rsidRDefault="005B2BDE">
            <w:pPr>
              <w:rPr>
                <w:u w:val="single"/>
              </w:rPr>
            </w:pPr>
          </w:p>
        </w:tc>
        <w:tc>
          <w:tcPr>
            <w:tcW w:w="3685" w:type="dxa"/>
          </w:tcPr>
          <w:p w14:paraId="487492F1" w14:textId="77777777" w:rsidR="005B2BDE" w:rsidRPr="005B2BDE" w:rsidRDefault="005B2BDE">
            <w:pPr>
              <w:rPr>
                <w:u w:val="single"/>
              </w:rPr>
            </w:pPr>
          </w:p>
        </w:tc>
        <w:tc>
          <w:tcPr>
            <w:tcW w:w="2693" w:type="dxa"/>
          </w:tcPr>
          <w:p w14:paraId="3B361433" w14:textId="3AE4AA3F" w:rsidR="005B2BDE" w:rsidRPr="005B2BDE" w:rsidRDefault="005B2BDE">
            <w:r w:rsidRPr="005B2BDE">
              <w:t>ISO 27001 is</w:t>
            </w:r>
            <w:r>
              <w:t xml:space="preserve"> toereikend</w:t>
            </w:r>
            <w:r w:rsidRPr="005B2BDE">
              <w:t xml:space="preserve">, het kan wel zijn dat aanvullende vragen worden gesteld door de Security </w:t>
            </w:r>
            <w:proofErr w:type="spellStart"/>
            <w:r w:rsidRPr="005B2BDE">
              <w:t>Officer</w:t>
            </w:r>
            <w:proofErr w:type="spellEnd"/>
            <w:r w:rsidRPr="005B2BDE">
              <w:t xml:space="preserve"> van gemeente Haarlem.</w:t>
            </w:r>
          </w:p>
        </w:tc>
      </w:tr>
      <w:tr w:rsidR="005B2BDE" w:rsidRPr="005B2BDE" w14:paraId="2E74E4C4" w14:textId="77777777" w:rsidTr="00F7011F">
        <w:tc>
          <w:tcPr>
            <w:tcW w:w="1442" w:type="dxa"/>
          </w:tcPr>
          <w:p w14:paraId="6B86D1DA" w14:textId="4780EE8B" w:rsidR="005B2BDE" w:rsidRPr="005B2BDE" w:rsidRDefault="005B2BDE">
            <w:r>
              <w:t>36.2 sub ii</w:t>
            </w:r>
          </w:p>
        </w:tc>
        <w:tc>
          <w:tcPr>
            <w:tcW w:w="2948" w:type="dxa"/>
          </w:tcPr>
          <w:p w14:paraId="2E2D922E" w14:textId="77777777" w:rsidR="005B2BDE" w:rsidRPr="005B2BDE" w:rsidRDefault="005B2BDE">
            <w:pPr>
              <w:rPr>
                <w:u w:val="single"/>
              </w:rPr>
            </w:pPr>
          </w:p>
        </w:tc>
        <w:tc>
          <w:tcPr>
            <w:tcW w:w="3685" w:type="dxa"/>
          </w:tcPr>
          <w:p w14:paraId="254DBD76" w14:textId="77777777" w:rsidR="005B2BDE" w:rsidRPr="005B2BDE" w:rsidRDefault="005B2BDE">
            <w:pPr>
              <w:rPr>
                <w:u w:val="single"/>
              </w:rPr>
            </w:pPr>
          </w:p>
        </w:tc>
        <w:tc>
          <w:tcPr>
            <w:tcW w:w="2693" w:type="dxa"/>
          </w:tcPr>
          <w:p w14:paraId="66ED5E0A" w14:textId="7845DCBA" w:rsidR="005B2BDE" w:rsidRDefault="005B2BDE" w:rsidP="005B2BDE">
            <w:pPr>
              <w:tabs>
                <w:tab w:val="left" w:pos="395"/>
              </w:tabs>
            </w:pPr>
            <w:r>
              <w:t xml:space="preserve">Opdrachtgever is akkoord met een </w:t>
            </w:r>
            <w:proofErr w:type="gramStart"/>
            <w:r>
              <w:t>zogen</w:t>
            </w:r>
            <w:r w:rsidR="0010282F">
              <w:t>aam</w:t>
            </w:r>
            <w:r>
              <w:t>de</w:t>
            </w:r>
            <w:proofErr w:type="gramEnd"/>
            <w:r>
              <w:t xml:space="preserve"> concern </w:t>
            </w:r>
          </w:p>
          <w:p w14:paraId="3B3DA011" w14:textId="77777777" w:rsidR="005B2BDE" w:rsidRDefault="005B2BDE" w:rsidP="005B2BDE">
            <w:pPr>
              <w:tabs>
                <w:tab w:val="left" w:pos="395"/>
              </w:tabs>
            </w:pPr>
            <w:r>
              <w:t xml:space="preserve">garantie, waarbij de moedermaatschappij borg staat voor nakoming van de </w:t>
            </w:r>
          </w:p>
          <w:p w14:paraId="326A2E09" w14:textId="46327E5F" w:rsidR="005B2BDE" w:rsidRPr="005B2BDE" w:rsidRDefault="005B2BDE" w:rsidP="005B2BDE">
            <w:pPr>
              <w:tabs>
                <w:tab w:val="left" w:pos="395"/>
              </w:tabs>
            </w:pPr>
            <w:r>
              <w:lastRenderedPageBreak/>
              <w:t>verplichtingen uit de overeenkomst.</w:t>
            </w:r>
          </w:p>
        </w:tc>
      </w:tr>
    </w:tbl>
    <w:p w14:paraId="25FF210E" w14:textId="77777777" w:rsidR="001A63CF" w:rsidRDefault="001A63CF"/>
    <w:sectPr w:rsidR="001A63CF" w:rsidSect="000512CA">
      <w:headerReference w:type="default" r:id="rId9"/>
      <w:footerReference w:type="default" r:id="rId10"/>
      <w:pgSz w:w="11906" w:h="16838"/>
      <w:pgMar w:top="1417" w:right="424" w:bottom="1417" w:left="426"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2E794" w14:textId="77777777" w:rsidR="000512CA" w:rsidRDefault="000512CA" w:rsidP="000512CA">
      <w:pPr>
        <w:spacing w:after="0" w:line="240" w:lineRule="auto"/>
      </w:pPr>
      <w:r>
        <w:separator/>
      </w:r>
    </w:p>
  </w:endnote>
  <w:endnote w:type="continuationSeparator" w:id="0">
    <w:p w14:paraId="0A7C44DA" w14:textId="77777777" w:rsidR="000512CA" w:rsidRDefault="000512CA" w:rsidP="0005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LTSt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603884"/>
      <w:docPartObj>
        <w:docPartGallery w:val="Page Numbers (Bottom of Page)"/>
        <w:docPartUnique/>
      </w:docPartObj>
    </w:sdtPr>
    <w:sdtEndPr/>
    <w:sdtContent>
      <w:p w14:paraId="494A4B82" w14:textId="1B0F0E23" w:rsidR="004F2BAC" w:rsidRDefault="004F2BAC">
        <w:pPr>
          <w:pStyle w:val="Voettekst"/>
          <w:jc w:val="right"/>
        </w:pPr>
        <w:r>
          <w:fldChar w:fldCharType="begin"/>
        </w:r>
        <w:r>
          <w:instrText>PAGE   \* MERGEFORMAT</w:instrText>
        </w:r>
        <w:r>
          <w:fldChar w:fldCharType="separate"/>
        </w:r>
        <w:r>
          <w:t>2</w:t>
        </w:r>
        <w:r>
          <w:fldChar w:fldCharType="end"/>
        </w:r>
      </w:p>
    </w:sdtContent>
  </w:sdt>
  <w:p w14:paraId="24843243" w14:textId="77777777" w:rsidR="004F2BAC" w:rsidRDefault="004F2B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DC55B" w14:textId="77777777" w:rsidR="000512CA" w:rsidRDefault="000512CA" w:rsidP="000512CA">
      <w:pPr>
        <w:spacing w:after="0" w:line="240" w:lineRule="auto"/>
      </w:pPr>
      <w:r>
        <w:separator/>
      </w:r>
    </w:p>
  </w:footnote>
  <w:footnote w:type="continuationSeparator" w:id="0">
    <w:p w14:paraId="5ED68077" w14:textId="77777777" w:rsidR="000512CA" w:rsidRDefault="000512CA" w:rsidP="0005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58AE1" w14:textId="6B844306" w:rsidR="000512CA" w:rsidRDefault="000512CA">
    <w:pPr>
      <w:pStyle w:val="Koptekst"/>
    </w:pPr>
    <w:r w:rsidRPr="009C61F5">
      <w:rPr>
        <w:noProof/>
      </w:rPr>
      <w:drawing>
        <wp:inline distT="0" distB="0" distL="0" distR="0" wp14:anchorId="4C0C2C00" wp14:editId="0A00C85B">
          <wp:extent cx="1761490" cy="754079"/>
          <wp:effectExtent l="0" t="0" r="0" b="8255"/>
          <wp:docPr id="1278472784" name="Afbeelding 127847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5734" cy="755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CF"/>
    <w:rsid w:val="00001CB4"/>
    <w:rsid w:val="00012B18"/>
    <w:rsid w:val="0001373E"/>
    <w:rsid w:val="00017D8D"/>
    <w:rsid w:val="00043103"/>
    <w:rsid w:val="000512CA"/>
    <w:rsid w:val="000B6EB7"/>
    <w:rsid w:val="000F48E4"/>
    <w:rsid w:val="0010282F"/>
    <w:rsid w:val="0014791B"/>
    <w:rsid w:val="00150D27"/>
    <w:rsid w:val="001648BF"/>
    <w:rsid w:val="001762F3"/>
    <w:rsid w:val="00185E38"/>
    <w:rsid w:val="00187A50"/>
    <w:rsid w:val="001A63CF"/>
    <w:rsid w:val="001E21BA"/>
    <w:rsid w:val="00263692"/>
    <w:rsid w:val="002814D6"/>
    <w:rsid w:val="00295DB7"/>
    <w:rsid w:val="002A01C1"/>
    <w:rsid w:val="002A6520"/>
    <w:rsid w:val="003049CC"/>
    <w:rsid w:val="003209DA"/>
    <w:rsid w:val="003322BB"/>
    <w:rsid w:val="00356728"/>
    <w:rsid w:val="003767BC"/>
    <w:rsid w:val="0039031C"/>
    <w:rsid w:val="003B5F08"/>
    <w:rsid w:val="003E1C1D"/>
    <w:rsid w:val="003E3DB0"/>
    <w:rsid w:val="003F5B85"/>
    <w:rsid w:val="00421BBD"/>
    <w:rsid w:val="00427F99"/>
    <w:rsid w:val="00434297"/>
    <w:rsid w:val="00443AE1"/>
    <w:rsid w:val="00450CFC"/>
    <w:rsid w:val="00452689"/>
    <w:rsid w:val="004C7BE7"/>
    <w:rsid w:val="004E3D0B"/>
    <w:rsid w:val="004E5C23"/>
    <w:rsid w:val="004F2BAC"/>
    <w:rsid w:val="00512A32"/>
    <w:rsid w:val="00547B58"/>
    <w:rsid w:val="00551235"/>
    <w:rsid w:val="005616F4"/>
    <w:rsid w:val="00563F0C"/>
    <w:rsid w:val="00585021"/>
    <w:rsid w:val="005B2BDE"/>
    <w:rsid w:val="005D6016"/>
    <w:rsid w:val="005F18E0"/>
    <w:rsid w:val="00626DC7"/>
    <w:rsid w:val="00631933"/>
    <w:rsid w:val="00637426"/>
    <w:rsid w:val="00646813"/>
    <w:rsid w:val="0065234E"/>
    <w:rsid w:val="00687E65"/>
    <w:rsid w:val="006B1411"/>
    <w:rsid w:val="006F2990"/>
    <w:rsid w:val="00731507"/>
    <w:rsid w:val="00740FBF"/>
    <w:rsid w:val="0075622F"/>
    <w:rsid w:val="00764E34"/>
    <w:rsid w:val="00780473"/>
    <w:rsid w:val="0079442C"/>
    <w:rsid w:val="007A43E5"/>
    <w:rsid w:val="007E6D71"/>
    <w:rsid w:val="007F1946"/>
    <w:rsid w:val="007F1D0A"/>
    <w:rsid w:val="007F4569"/>
    <w:rsid w:val="00817E25"/>
    <w:rsid w:val="00851FB4"/>
    <w:rsid w:val="00867FCA"/>
    <w:rsid w:val="0087424A"/>
    <w:rsid w:val="008B2902"/>
    <w:rsid w:val="008B7245"/>
    <w:rsid w:val="008E58BB"/>
    <w:rsid w:val="00943FD2"/>
    <w:rsid w:val="009B178C"/>
    <w:rsid w:val="009B5FC3"/>
    <w:rsid w:val="009C0B43"/>
    <w:rsid w:val="009C706E"/>
    <w:rsid w:val="009D25FE"/>
    <w:rsid w:val="009D3A59"/>
    <w:rsid w:val="009F295C"/>
    <w:rsid w:val="009F56E2"/>
    <w:rsid w:val="00A06292"/>
    <w:rsid w:val="00A2093D"/>
    <w:rsid w:val="00A300FA"/>
    <w:rsid w:val="00A44182"/>
    <w:rsid w:val="00A513C0"/>
    <w:rsid w:val="00A557D9"/>
    <w:rsid w:val="00A72C92"/>
    <w:rsid w:val="00A86654"/>
    <w:rsid w:val="00A87175"/>
    <w:rsid w:val="00AC074A"/>
    <w:rsid w:val="00AC4B22"/>
    <w:rsid w:val="00AC5D11"/>
    <w:rsid w:val="00AF058E"/>
    <w:rsid w:val="00B01F08"/>
    <w:rsid w:val="00B31127"/>
    <w:rsid w:val="00B379C3"/>
    <w:rsid w:val="00B47FCC"/>
    <w:rsid w:val="00BE66DC"/>
    <w:rsid w:val="00BF0786"/>
    <w:rsid w:val="00BF56A4"/>
    <w:rsid w:val="00C10544"/>
    <w:rsid w:val="00C23CC2"/>
    <w:rsid w:val="00C41022"/>
    <w:rsid w:val="00C604E6"/>
    <w:rsid w:val="00CA2063"/>
    <w:rsid w:val="00CC20E1"/>
    <w:rsid w:val="00CD62DC"/>
    <w:rsid w:val="00D072D4"/>
    <w:rsid w:val="00D11869"/>
    <w:rsid w:val="00D11D4A"/>
    <w:rsid w:val="00D27391"/>
    <w:rsid w:val="00D3481D"/>
    <w:rsid w:val="00D40C15"/>
    <w:rsid w:val="00D66211"/>
    <w:rsid w:val="00D73D72"/>
    <w:rsid w:val="00D77C40"/>
    <w:rsid w:val="00D83DC8"/>
    <w:rsid w:val="00D90FE1"/>
    <w:rsid w:val="00D974C3"/>
    <w:rsid w:val="00DA2290"/>
    <w:rsid w:val="00DC2C33"/>
    <w:rsid w:val="00DD0C35"/>
    <w:rsid w:val="00DD3D84"/>
    <w:rsid w:val="00E0746B"/>
    <w:rsid w:val="00E15B34"/>
    <w:rsid w:val="00E1722F"/>
    <w:rsid w:val="00E30CE6"/>
    <w:rsid w:val="00E3716B"/>
    <w:rsid w:val="00E41B1C"/>
    <w:rsid w:val="00E472C3"/>
    <w:rsid w:val="00E629B4"/>
    <w:rsid w:val="00E71348"/>
    <w:rsid w:val="00E90C35"/>
    <w:rsid w:val="00EC0CE6"/>
    <w:rsid w:val="00ED72EB"/>
    <w:rsid w:val="00EE10EF"/>
    <w:rsid w:val="00EE4714"/>
    <w:rsid w:val="00F16E59"/>
    <w:rsid w:val="00F44DA9"/>
    <w:rsid w:val="00F7011F"/>
    <w:rsid w:val="00F74A4E"/>
    <w:rsid w:val="00F777D2"/>
    <w:rsid w:val="00F842D7"/>
    <w:rsid w:val="00F86095"/>
    <w:rsid w:val="00FE3E19"/>
    <w:rsid w:val="00FF2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4584F"/>
  <w15:chartTrackingRefBased/>
  <w15:docId w15:val="{898F9FF5-1FE0-4DE7-881C-7D451CCF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A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512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2CA"/>
  </w:style>
  <w:style w:type="paragraph" w:styleId="Voettekst">
    <w:name w:val="footer"/>
    <w:basedOn w:val="Standaard"/>
    <w:link w:val="VoettekstChar"/>
    <w:uiPriority w:val="99"/>
    <w:unhideWhenUsed/>
    <w:rsid w:val="000512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9546">
      <w:bodyDiv w:val="1"/>
      <w:marLeft w:val="0"/>
      <w:marRight w:val="0"/>
      <w:marTop w:val="0"/>
      <w:marBottom w:val="0"/>
      <w:divBdr>
        <w:top w:val="none" w:sz="0" w:space="0" w:color="auto"/>
        <w:left w:val="none" w:sz="0" w:space="0" w:color="auto"/>
        <w:bottom w:val="none" w:sz="0" w:space="0" w:color="auto"/>
        <w:right w:val="none" w:sz="0" w:space="0" w:color="auto"/>
      </w:divBdr>
    </w:div>
    <w:div w:id="111829034">
      <w:bodyDiv w:val="1"/>
      <w:marLeft w:val="0"/>
      <w:marRight w:val="0"/>
      <w:marTop w:val="0"/>
      <w:marBottom w:val="0"/>
      <w:divBdr>
        <w:top w:val="none" w:sz="0" w:space="0" w:color="auto"/>
        <w:left w:val="none" w:sz="0" w:space="0" w:color="auto"/>
        <w:bottom w:val="none" w:sz="0" w:space="0" w:color="auto"/>
        <w:right w:val="none" w:sz="0" w:space="0" w:color="auto"/>
      </w:divBdr>
    </w:div>
    <w:div w:id="14755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6AB6CE165B145AF29B4146DA14021" ma:contentTypeVersion="20" ma:contentTypeDescription="Create a new document." ma:contentTypeScope="" ma:versionID="3bfe80cd71101478315d68defcabba6c">
  <xsd:schema xmlns:xsd="http://www.w3.org/2001/XMLSchema" xmlns:xs="http://www.w3.org/2001/XMLSchema" xmlns:p="http://schemas.microsoft.com/office/2006/metadata/properties" xmlns:ns2="dd689835-8713-43b3-a2f1-6e7a524c253d" xmlns:ns3="ebe59f48-cb10-4d46-81bb-28dea8440238" targetNamespace="http://schemas.microsoft.com/office/2006/metadata/properties" ma:root="true" ma:fieldsID="0030587af9a7edd2acfe91af0901ebdf" ns2:_="" ns3:_="">
    <xsd:import namespace="dd689835-8713-43b3-a2f1-6e7a524c253d"/>
    <xsd:import namespace="ebe59f48-cb10-4d46-81bb-28dea844023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89835-8713-43b3-a2f1-6e7a524c25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7f2c29c9-8b53-4b8b-aa73-2d3e525ba7ed}" ma:internalName="TaxCatchAll" ma:showField="CatchAllData" ma:web="dd689835-8713-43b3-a2f1-6e7a524c25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e59f48-cb10-4d46-81bb-28dea844023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7bc2acb-3b7d-46ce-a18b-9c17e83f0c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9835-8713-43b3-a2f1-6e7a524c253d" xsi:nil="true"/>
    <lcf76f155ced4ddcb4097134ff3c332f xmlns="ebe59f48-cb10-4d46-81bb-28dea8440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E87689-1674-44D9-BF38-B4EEBDA55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89835-8713-43b3-a2f1-6e7a524c253d"/>
    <ds:schemaRef ds:uri="ebe59f48-cb10-4d46-81bb-28dea8440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EE8-1322-4A11-A5DE-BC71119A224D}">
  <ds:schemaRefs>
    <ds:schemaRef ds:uri="http://schemas.microsoft.com/sharepoint/v3/contenttype/forms"/>
  </ds:schemaRefs>
</ds:datastoreItem>
</file>

<file path=customXml/itemProps3.xml><?xml version="1.0" encoding="utf-8"?>
<ds:datastoreItem xmlns:ds="http://schemas.openxmlformats.org/officeDocument/2006/customXml" ds:itemID="{3D6FD696-4E4B-4564-A53F-0CFB8A4E7F6F}">
  <ds:schemaRefs>
    <ds:schemaRef ds:uri="http://schemas.microsoft.com/office/2006/metadata/properties"/>
    <ds:schemaRef ds:uri="http://schemas.microsoft.com/office/infopath/2007/PartnerControls"/>
    <ds:schemaRef ds:uri="dd689835-8713-43b3-a2f1-6e7a524c253d"/>
    <ds:schemaRef ds:uri="ebe59f48-cb10-4d46-81bb-28dea844023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2940</Words>
  <Characters>16172</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AvDam</dc:creator>
  <cp:keywords/>
  <dc:description/>
  <cp:lastModifiedBy>Alex van Dam</cp:lastModifiedBy>
  <cp:revision>9</cp:revision>
  <dcterms:created xsi:type="dcterms:W3CDTF">2024-04-22T12:33:00Z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0x010100DB56AB6CE165B145AF29B4146DA14021</vt:lpwstr>
  </property>
  <property fmtid="{D5CDD505-2E9C-101B-9397-08002B2CF9AE}" pid="3" name="MediaServiceImageTags">
    <vt:lpwstr/>
  </property>
</Properties>
</file>