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6DB9D" w14:textId="75F794AB" w:rsidR="00C868AA" w:rsidRDefault="00F46342">
      <w:pPr>
        <w:rPr>
          <w:b/>
          <w:bCs/>
        </w:rPr>
      </w:pPr>
      <w:r w:rsidRPr="00F46342">
        <w:rPr>
          <w:b/>
          <w:bCs/>
        </w:rPr>
        <w:t xml:space="preserve">Motivering </w:t>
      </w:r>
      <w:r w:rsidR="00862B44">
        <w:rPr>
          <w:b/>
          <w:bCs/>
        </w:rPr>
        <w:t>Programma versnelling inrichting</w:t>
      </w:r>
      <w:r w:rsidR="009D1A9C">
        <w:rPr>
          <w:b/>
          <w:bCs/>
        </w:rPr>
        <w:t xml:space="preserve"> Staatsbosbeheer</w:t>
      </w:r>
      <w:r w:rsidRPr="00F46342">
        <w:rPr>
          <w:b/>
          <w:bCs/>
        </w:rPr>
        <w:t xml:space="preserve"> </w:t>
      </w:r>
      <w:r w:rsidR="009D1A9C">
        <w:rPr>
          <w:b/>
          <w:bCs/>
        </w:rPr>
        <w:br/>
      </w:r>
      <w:r w:rsidRPr="00F46342">
        <w:rPr>
          <w:b/>
          <w:bCs/>
        </w:rPr>
        <w:t xml:space="preserve">artikel 2.32 lid 1 sub b, onderdeel 2 </w:t>
      </w:r>
      <w:proofErr w:type="spellStart"/>
      <w:r w:rsidRPr="00F46342">
        <w:rPr>
          <w:b/>
          <w:bCs/>
        </w:rPr>
        <w:t>Aw</w:t>
      </w:r>
      <w:proofErr w:type="spellEnd"/>
    </w:p>
    <w:p w14:paraId="3E56E500" w14:textId="78FD367B" w:rsidR="008247A9" w:rsidRDefault="008247A9">
      <w:pPr>
        <w:rPr>
          <w:u w:val="single"/>
        </w:rPr>
      </w:pPr>
      <w:r w:rsidRPr="00A13EC4">
        <w:rPr>
          <w:u w:val="single"/>
        </w:rPr>
        <w:t>Technische redenen:</w:t>
      </w:r>
    </w:p>
    <w:p w14:paraId="09585893" w14:textId="58155B10" w:rsidR="00F84EED" w:rsidRDefault="00DD40FB" w:rsidP="008D2613">
      <w:pPr>
        <w:rPr>
          <w:rFonts w:eastAsia="Times New Roman"/>
          <w:bCs/>
          <w:kern w:val="14"/>
          <w:lang w:eastAsia="nl-NL"/>
        </w:rPr>
      </w:pPr>
      <w:r>
        <w:rPr>
          <w:rFonts w:ascii="Calibri" w:hAnsi="Calibri" w:cs="Calibri"/>
          <w:color w:val="000000"/>
          <w:shd w:val="clear" w:color="auto" w:fill="FFFFFF"/>
        </w:rPr>
        <w:t>Het Natuurnetwerk Nederland (NNN</w:t>
      </w:r>
      <w:r w:rsidR="00F84EED">
        <w:rPr>
          <w:rFonts w:ascii="Calibri" w:hAnsi="Calibri" w:cs="Calibri"/>
          <w:color w:val="000000"/>
          <w:shd w:val="clear" w:color="auto" w:fill="FFFFFF"/>
        </w:rPr>
        <w:t>, voorheen Ecologische Hoofdstructuur, EHS</w:t>
      </w:r>
      <w:r>
        <w:rPr>
          <w:rFonts w:ascii="Calibri" w:hAnsi="Calibri" w:cs="Calibri"/>
          <w:color w:val="000000"/>
          <w:shd w:val="clear" w:color="auto" w:fill="FFFFFF"/>
        </w:rPr>
        <w:t>) is een netwerk van gebieden in Nederland waar de natuur voorrang heeft. Het netwerk helpt voorkomen dat planten en dieren in geïsoleerde gebieden uitsterven en natuurgebieden hun waarde verliezen. Grotere natuurgebieden zijn gunstig voor de biodiversiteit en de kwaliteit van de leefomgeving. Als natuurgebieden ook nog met elkaar verbonden zijn, kunnen dieren en planten gemakkelijker overleven.</w:t>
      </w:r>
      <w:r w:rsidR="00826F1E">
        <w:rPr>
          <w:rFonts w:ascii="Calibri" w:hAnsi="Calibri" w:cs="Calibri"/>
          <w:color w:val="000000"/>
          <w:shd w:val="clear" w:color="auto" w:fill="FFFFFF"/>
        </w:rPr>
        <w:t xml:space="preserve"> Het netwerk is voor een groot deel al gerealiseerd, daar is al natuur. Maar een deel dient nog te worden ontwikkeld. </w:t>
      </w:r>
      <w:r w:rsidR="00BB24F4">
        <w:rPr>
          <w:rFonts w:eastAsia="Times New Roman"/>
          <w:bCs/>
          <w:kern w:val="14"/>
          <w:lang w:eastAsia="nl-NL"/>
        </w:rPr>
        <w:t xml:space="preserve">Hiertoe worden gronden verworven of door eigenaren zelf tot natuur omgevormd (functieverandering) en daarna ingericht als natuur. </w:t>
      </w:r>
      <w:r w:rsidR="000015A9">
        <w:rPr>
          <w:rFonts w:eastAsia="Times New Roman"/>
          <w:bCs/>
          <w:kern w:val="14"/>
          <w:lang w:eastAsia="nl-NL"/>
        </w:rPr>
        <w:t xml:space="preserve">Het </w:t>
      </w:r>
      <w:r w:rsidR="00F84EED">
        <w:rPr>
          <w:rFonts w:eastAsia="Times New Roman"/>
          <w:bCs/>
          <w:kern w:val="14"/>
          <w:lang w:eastAsia="nl-NL"/>
        </w:rPr>
        <w:t>n</w:t>
      </w:r>
      <w:r w:rsidR="000015A9">
        <w:rPr>
          <w:rFonts w:eastAsia="Times New Roman"/>
          <w:bCs/>
          <w:kern w:val="14"/>
          <w:lang w:eastAsia="nl-NL"/>
        </w:rPr>
        <w:t xml:space="preserve">atuurnetwerk dient in 2027 te zijn afgerond. In Utrecht is er nog een opgave voor functieverandering van 535 hectare. Daarnaast dient er nog 1878 hectare te worden ingericht. </w:t>
      </w:r>
    </w:p>
    <w:p w14:paraId="3DC41E7E" w14:textId="0935FDB8" w:rsidR="000015A9" w:rsidRDefault="000015A9" w:rsidP="000015A9">
      <w:pPr>
        <w:spacing w:line="260" w:lineRule="atLeast"/>
        <w:rPr>
          <w:rFonts w:eastAsia="Times New Roman"/>
          <w:bCs/>
          <w:kern w:val="14"/>
          <w:lang w:eastAsia="nl-NL"/>
        </w:rPr>
      </w:pPr>
      <w:r>
        <w:rPr>
          <w:rFonts w:eastAsia="Times New Roman"/>
          <w:bCs/>
          <w:kern w:val="14"/>
          <w:lang w:eastAsia="nl-NL"/>
        </w:rPr>
        <w:t xml:space="preserve">Staatbosbeheer </w:t>
      </w:r>
      <w:r w:rsidR="009E620D">
        <w:rPr>
          <w:rFonts w:eastAsia="Times New Roman"/>
          <w:bCs/>
          <w:kern w:val="14"/>
          <w:lang w:eastAsia="nl-NL"/>
        </w:rPr>
        <w:t xml:space="preserve">(SBB) </w:t>
      </w:r>
      <w:r>
        <w:rPr>
          <w:rFonts w:eastAsia="Times New Roman"/>
          <w:bCs/>
          <w:kern w:val="14"/>
          <w:lang w:eastAsia="nl-NL"/>
        </w:rPr>
        <w:t xml:space="preserve">heeft binnen </w:t>
      </w:r>
      <w:r w:rsidR="00E62F6C">
        <w:rPr>
          <w:rFonts w:eastAsia="Times New Roman"/>
          <w:bCs/>
          <w:kern w:val="14"/>
          <w:lang w:eastAsia="nl-NL"/>
        </w:rPr>
        <w:t>het</w:t>
      </w:r>
      <w:r>
        <w:rPr>
          <w:rFonts w:eastAsia="Times New Roman"/>
          <w:bCs/>
          <w:kern w:val="14"/>
          <w:lang w:eastAsia="nl-NL"/>
        </w:rPr>
        <w:t xml:space="preserve"> NNN </w:t>
      </w:r>
      <w:r w:rsidR="00E62F6C">
        <w:rPr>
          <w:rFonts w:eastAsia="Times New Roman"/>
          <w:bCs/>
          <w:kern w:val="14"/>
          <w:lang w:eastAsia="nl-NL"/>
        </w:rPr>
        <w:t xml:space="preserve">in de provincie Utrecht </w:t>
      </w:r>
      <w:r>
        <w:rPr>
          <w:rFonts w:eastAsia="Times New Roman"/>
          <w:bCs/>
          <w:kern w:val="14"/>
          <w:lang w:eastAsia="nl-NL"/>
        </w:rPr>
        <w:t xml:space="preserve">nog diverse gebieden in </w:t>
      </w:r>
      <w:r w:rsidR="007A229D">
        <w:rPr>
          <w:rFonts w:eastAsia="Times New Roman"/>
          <w:bCs/>
          <w:kern w:val="14"/>
          <w:lang w:eastAsia="nl-NL"/>
        </w:rPr>
        <w:t xml:space="preserve">eigendom </w:t>
      </w:r>
      <w:r>
        <w:rPr>
          <w:rFonts w:eastAsia="Times New Roman"/>
          <w:bCs/>
          <w:kern w:val="14"/>
          <w:lang w:eastAsia="nl-NL"/>
        </w:rPr>
        <w:t xml:space="preserve">die nog niet zijn ingericht, totaal is dit momenteel nog 785 ha, verdeeld over 23 projecten. </w:t>
      </w:r>
      <w:r w:rsidR="00C15814">
        <w:rPr>
          <w:rFonts w:eastAsia="Times New Roman"/>
          <w:bCs/>
          <w:kern w:val="14"/>
          <w:lang w:eastAsia="nl-NL"/>
        </w:rPr>
        <w:t>Het Programma versnelling inrichting SBB is</w:t>
      </w:r>
      <w:r w:rsidR="00A82762">
        <w:rPr>
          <w:rFonts w:eastAsia="Times New Roman"/>
          <w:bCs/>
          <w:kern w:val="14"/>
          <w:lang w:eastAsia="nl-NL"/>
        </w:rPr>
        <w:t xml:space="preserve"> ontwikkeld om de </w:t>
      </w:r>
      <w:r>
        <w:rPr>
          <w:rFonts w:eastAsia="Times New Roman"/>
          <w:bCs/>
          <w:kern w:val="14"/>
          <w:lang w:eastAsia="nl-NL"/>
        </w:rPr>
        <w:t xml:space="preserve">inrichting van deze </w:t>
      </w:r>
      <w:r w:rsidR="00A82762">
        <w:rPr>
          <w:rFonts w:eastAsia="Times New Roman"/>
          <w:bCs/>
          <w:kern w:val="14"/>
          <w:lang w:eastAsia="nl-NL"/>
        </w:rPr>
        <w:t>projecten te versnellen</w:t>
      </w:r>
      <w:r w:rsidR="00FD2335">
        <w:rPr>
          <w:rFonts w:eastAsia="Times New Roman"/>
          <w:bCs/>
          <w:kern w:val="14"/>
          <w:lang w:eastAsia="nl-NL"/>
        </w:rPr>
        <w:t>,</w:t>
      </w:r>
      <w:r w:rsidR="00A82762">
        <w:rPr>
          <w:rFonts w:eastAsia="Times New Roman"/>
          <w:bCs/>
          <w:kern w:val="14"/>
          <w:lang w:eastAsia="nl-NL"/>
        </w:rPr>
        <w:t xml:space="preserve"> zodat de</w:t>
      </w:r>
      <w:r w:rsidR="00A17565">
        <w:rPr>
          <w:rFonts w:eastAsia="Times New Roman"/>
          <w:bCs/>
          <w:kern w:val="14"/>
          <w:lang w:eastAsia="nl-NL"/>
        </w:rPr>
        <w:t>ze</w:t>
      </w:r>
      <w:r w:rsidR="00A82762">
        <w:rPr>
          <w:rFonts w:eastAsia="Times New Roman"/>
          <w:bCs/>
          <w:kern w:val="14"/>
          <w:lang w:eastAsia="nl-NL"/>
        </w:rPr>
        <w:t xml:space="preserve"> natuurgronden</w:t>
      </w:r>
      <w:r>
        <w:rPr>
          <w:rFonts w:eastAsia="Times New Roman"/>
          <w:bCs/>
          <w:kern w:val="14"/>
          <w:lang w:eastAsia="nl-NL"/>
        </w:rPr>
        <w:t xml:space="preserve"> uiterlijk in 2027 ingericht </w:t>
      </w:r>
      <w:r w:rsidR="00A82762">
        <w:rPr>
          <w:rFonts w:eastAsia="Times New Roman"/>
          <w:bCs/>
          <w:kern w:val="14"/>
          <w:lang w:eastAsia="nl-NL"/>
        </w:rPr>
        <w:t>zijn</w:t>
      </w:r>
      <w:r>
        <w:rPr>
          <w:rFonts w:eastAsia="Times New Roman"/>
          <w:bCs/>
          <w:kern w:val="14"/>
          <w:lang w:eastAsia="nl-NL"/>
        </w:rPr>
        <w:t xml:space="preserve">. </w:t>
      </w:r>
    </w:p>
    <w:p w14:paraId="49888506" w14:textId="7009CCA4" w:rsidR="00506238" w:rsidRDefault="00BF494B" w:rsidP="00CA758C">
      <w:pPr>
        <w:spacing w:line="260" w:lineRule="atLeast"/>
        <w:rPr>
          <w:rFonts w:eastAsia="Times New Roman"/>
          <w:bCs/>
          <w:kern w:val="14"/>
          <w:lang w:eastAsia="nl-NL"/>
        </w:rPr>
      </w:pPr>
      <w:r>
        <w:rPr>
          <w:rFonts w:eastAsia="Times New Roman"/>
          <w:bCs/>
          <w:kern w:val="14"/>
          <w:lang w:eastAsia="nl-NL"/>
        </w:rPr>
        <w:t xml:space="preserve">Voor </w:t>
      </w:r>
      <w:r w:rsidR="00583B5B">
        <w:rPr>
          <w:rFonts w:eastAsia="Times New Roman"/>
          <w:bCs/>
          <w:kern w:val="14"/>
          <w:lang w:eastAsia="nl-NL"/>
        </w:rPr>
        <w:t xml:space="preserve">de </w:t>
      </w:r>
      <w:r w:rsidR="00DF2CA5">
        <w:rPr>
          <w:rFonts w:eastAsia="Times New Roman"/>
          <w:bCs/>
          <w:kern w:val="14"/>
          <w:lang w:eastAsia="nl-NL"/>
        </w:rPr>
        <w:t>voorbereiding van de</w:t>
      </w:r>
      <w:r w:rsidR="00A54B9E">
        <w:rPr>
          <w:rFonts w:eastAsia="Times New Roman"/>
          <w:bCs/>
          <w:kern w:val="14"/>
          <w:lang w:eastAsia="nl-NL"/>
        </w:rPr>
        <w:t xml:space="preserve"> </w:t>
      </w:r>
      <w:r w:rsidR="00144929">
        <w:rPr>
          <w:rFonts w:eastAsia="Times New Roman"/>
          <w:bCs/>
          <w:kern w:val="14"/>
          <w:lang w:eastAsia="nl-NL"/>
        </w:rPr>
        <w:t xml:space="preserve">inrichting van </w:t>
      </w:r>
      <w:r w:rsidR="00DF2CA5">
        <w:rPr>
          <w:rFonts w:eastAsia="Times New Roman"/>
          <w:bCs/>
          <w:kern w:val="14"/>
          <w:lang w:eastAsia="nl-NL"/>
        </w:rPr>
        <w:t>een specifiek deel van de</w:t>
      </w:r>
      <w:r w:rsidR="00144929">
        <w:rPr>
          <w:rFonts w:eastAsia="Times New Roman"/>
          <w:bCs/>
          <w:kern w:val="14"/>
          <w:lang w:eastAsia="nl-NL"/>
        </w:rPr>
        <w:t xml:space="preserve"> gebieden </w:t>
      </w:r>
      <w:r w:rsidR="00DF2CA5">
        <w:rPr>
          <w:rFonts w:eastAsia="Times New Roman"/>
          <w:bCs/>
          <w:kern w:val="14"/>
          <w:lang w:eastAsia="nl-NL"/>
        </w:rPr>
        <w:t xml:space="preserve">is de provincie Utrecht aangewezen op </w:t>
      </w:r>
      <w:r w:rsidR="009E620D">
        <w:rPr>
          <w:rFonts w:eastAsia="Times New Roman"/>
          <w:bCs/>
          <w:kern w:val="14"/>
          <w:lang w:eastAsia="nl-NL"/>
        </w:rPr>
        <w:t>Staatsbosbeheer</w:t>
      </w:r>
      <w:r w:rsidR="00506238">
        <w:rPr>
          <w:rFonts w:eastAsia="Times New Roman"/>
          <w:bCs/>
          <w:kern w:val="14"/>
          <w:lang w:eastAsia="nl-NL"/>
        </w:rPr>
        <w:t xml:space="preserve">, omdat </w:t>
      </w:r>
      <w:r w:rsidR="00DF7AB1">
        <w:rPr>
          <w:rFonts w:eastAsia="Times New Roman"/>
          <w:bCs/>
          <w:kern w:val="14"/>
          <w:lang w:eastAsia="nl-NL"/>
        </w:rPr>
        <w:t xml:space="preserve">de betreffende gebieden in eigendom zijn van </w:t>
      </w:r>
      <w:r w:rsidR="00583FA4">
        <w:rPr>
          <w:rFonts w:eastAsia="Times New Roman"/>
          <w:bCs/>
          <w:kern w:val="14"/>
          <w:lang w:eastAsia="nl-NL"/>
        </w:rPr>
        <w:t>Staatsbosbeheer.</w:t>
      </w:r>
      <w:r w:rsidR="00583FA4" w:rsidRPr="00583FA4">
        <w:t xml:space="preserve"> </w:t>
      </w:r>
      <w:r w:rsidR="00583FA4" w:rsidRPr="00583FA4">
        <w:rPr>
          <w:rFonts w:eastAsia="Times New Roman"/>
          <w:bCs/>
          <w:kern w:val="14"/>
          <w:lang w:eastAsia="nl-NL"/>
        </w:rPr>
        <w:t xml:space="preserve">Concreet is de rol van Staatsbosbeheer </w:t>
      </w:r>
      <w:r w:rsidR="00DF2CA5">
        <w:rPr>
          <w:rFonts w:eastAsia="Times New Roman"/>
          <w:bCs/>
          <w:kern w:val="14"/>
          <w:lang w:eastAsia="nl-NL"/>
        </w:rPr>
        <w:t>bij de voorbereiding van de inrichting van haar natuurgebieden:</w:t>
      </w:r>
      <w:r w:rsidR="00583FA4" w:rsidRPr="00583FA4">
        <w:rPr>
          <w:rFonts w:eastAsia="Times New Roman"/>
          <w:bCs/>
          <w:kern w:val="14"/>
          <w:lang w:eastAsia="nl-NL"/>
        </w:rPr>
        <w:t xml:space="preserve"> </w:t>
      </w:r>
      <w:r>
        <w:rPr>
          <w:rFonts w:eastAsia="Times New Roman"/>
          <w:bCs/>
          <w:kern w:val="14"/>
          <w:lang w:eastAsia="nl-NL"/>
        </w:rPr>
        <w:t>a</w:t>
      </w:r>
      <w:r w:rsidR="00583FA4" w:rsidRPr="00583FA4">
        <w:rPr>
          <w:rFonts w:eastAsia="Times New Roman"/>
          <w:bCs/>
          <w:kern w:val="14"/>
          <w:lang w:eastAsia="nl-NL"/>
        </w:rPr>
        <w:t xml:space="preserve">dvies geven over de beheerbaarheid van de gewenste natuur en de haalbaarheid van de gewenste doelen op haar gronden; advies geven over </w:t>
      </w:r>
      <w:proofErr w:type="spellStart"/>
      <w:r w:rsidR="00583FA4" w:rsidRPr="00583FA4">
        <w:rPr>
          <w:rFonts w:eastAsia="Times New Roman"/>
          <w:bCs/>
          <w:kern w:val="14"/>
          <w:lang w:eastAsia="nl-NL"/>
        </w:rPr>
        <w:t>natuurtechnische</w:t>
      </w:r>
      <w:proofErr w:type="spellEnd"/>
      <w:r w:rsidR="00583FA4" w:rsidRPr="00583FA4">
        <w:rPr>
          <w:rFonts w:eastAsia="Times New Roman"/>
          <w:bCs/>
          <w:kern w:val="14"/>
          <w:lang w:eastAsia="nl-NL"/>
        </w:rPr>
        <w:t xml:space="preserve"> uitvoeringsmaatregelen; bij de uitvoering zal Staatsbosbeheer als toekomstige beheerder regelmatig in het veld aanwezig zijn om de directievoerder en toezichthouder van het ingenieursbureau te ondersteunen en om de provincie als opdrachtgever zo goed mogelijk t.a.v. de natuurrealisatie en beheerbaarheid te adviseren; kennis inbrengen t.a.v. de te realiseren van bijvoorbeeld wandelroutes e.d.; een voorstel doen voor het ontwikkelingsbeheer dat de eerste jaren nodig is om tot het gewenste natuurtype te komen</w:t>
      </w:r>
    </w:p>
    <w:p w14:paraId="181AA5D6" w14:textId="478B3432" w:rsidR="00B5141E" w:rsidRPr="00A13EC4" w:rsidRDefault="00B5141E" w:rsidP="00F46342">
      <w:pPr>
        <w:rPr>
          <w:u w:val="single"/>
        </w:rPr>
      </w:pPr>
      <w:r w:rsidRPr="00A13EC4">
        <w:rPr>
          <w:u w:val="single"/>
        </w:rPr>
        <w:t>Noodzakelijkheidsvereiste:</w:t>
      </w:r>
    </w:p>
    <w:p w14:paraId="54253F56" w14:textId="358DEED6" w:rsidR="009E09E2" w:rsidRDefault="009E09E2" w:rsidP="00F46342">
      <w:r>
        <w:t>De</w:t>
      </w:r>
      <w:r w:rsidR="00463C43">
        <w:t xml:space="preserve"> provincie Utrecht is voornemens de</w:t>
      </w:r>
      <w:r>
        <w:t xml:space="preserve"> opdracht voor het hiervoor genoemde ‘programma versnelling inrichting’ één op één aan Staatsbosbeheer</w:t>
      </w:r>
      <w:r w:rsidR="00463C43">
        <w:t xml:space="preserve"> te gunnen</w:t>
      </w:r>
      <w:r>
        <w:t xml:space="preserve"> aangezien enerzijds SBB de eigenaar is van de in te richten grond, anderzijds kunnen bovenstaande punten (zoals adviezen, kennis, in het veld aanwezig zijn bij de uitvoering) praktisch gezien slechts door Staatsbosbeheer worden gedaan als eigenaar en toekomstige beheerder van deze gebieden. Het is niet zinvol om hier een derde partij voor in te schakelen omdat dit de specifieke expertise van SBB betreft op haar eigen grond en SBB tot in lengte van dagen de beheerder blijft van deze grond. Een derde partij zal derhalve niet anders/meer doen c.q. kunnen doen dan SBB te bevragen over de door hun gewenste inrichting/beheer waarbij SBB vervolgens zelf actief participeert tijdens de uitvoering van de inrichting. Een inrichting die zodanig moet zijn dat SBB die ook goed kan beheren waarbij dus niet het risico mag worden gelopen van een onvolledige/inadequate inrichting (door b.v. een gebrekkige inventarisatie/vertaling van de behoeften van SBB door een extern ingenieursbureau) met een inefficiënt beheer tot gevolg.</w:t>
      </w:r>
    </w:p>
    <w:p w14:paraId="35FCAF58" w14:textId="00DCE8FF" w:rsidR="00B5141E" w:rsidRPr="00A13EC4" w:rsidRDefault="008247A9" w:rsidP="00F46342">
      <w:pPr>
        <w:rPr>
          <w:u w:val="single"/>
        </w:rPr>
      </w:pPr>
      <w:r w:rsidRPr="00A13EC4">
        <w:rPr>
          <w:u w:val="single"/>
        </w:rPr>
        <w:t>Geen a</w:t>
      </w:r>
      <w:r w:rsidR="00B5141E" w:rsidRPr="00A13EC4">
        <w:rPr>
          <w:u w:val="single"/>
        </w:rPr>
        <w:t xml:space="preserve">lternatief en </w:t>
      </w:r>
      <w:r w:rsidRPr="00A13EC4">
        <w:rPr>
          <w:u w:val="single"/>
        </w:rPr>
        <w:t xml:space="preserve">geen </w:t>
      </w:r>
      <w:r w:rsidR="00B5141E" w:rsidRPr="00A13EC4">
        <w:rPr>
          <w:u w:val="single"/>
        </w:rPr>
        <w:t>kunstmatige beperking van de mededinging:</w:t>
      </w:r>
    </w:p>
    <w:p w14:paraId="22DAADCC" w14:textId="21104DF4" w:rsidR="008A050B" w:rsidRDefault="00D95AD5" w:rsidP="009E478E">
      <w:r>
        <w:t xml:space="preserve">Er </w:t>
      </w:r>
      <w:r w:rsidR="00BE0EE0">
        <w:t>is</w:t>
      </w:r>
      <w:r>
        <w:t xml:space="preserve"> geen andere </w:t>
      </w:r>
      <w:r w:rsidR="00FB054E">
        <w:t>mogelijkhe</w:t>
      </w:r>
      <w:r w:rsidR="00BE0EE0">
        <w:t>id</w:t>
      </w:r>
      <w:r w:rsidR="00FB054E">
        <w:t xml:space="preserve"> om de versnelling van de inrichting van </w:t>
      </w:r>
      <w:r w:rsidR="003D2CDF">
        <w:t>gronden van Staatsbosbeheer vorm te geven</w:t>
      </w:r>
      <w:r w:rsidR="008977B4">
        <w:t xml:space="preserve"> dan met dit programma</w:t>
      </w:r>
      <w:r w:rsidR="00073CEE">
        <w:t xml:space="preserve"> versnelling inrichting</w:t>
      </w:r>
      <w:r w:rsidR="008977B4">
        <w:t xml:space="preserve">. </w:t>
      </w:r>
      <w:r w:rsidR="004C53D2">
        <w:t>De nog in te richten grond</w:t>
      </w:r>
      <w:r w:rsidR="00501AEC">
        <w:t xml:space="preserve">en zijn </w:t>
      </w:r>
      <w:r w:rsidR="00501AEC">
        <w:lastRenderedPageBreak/>
        <w:t>allemaal</w:t>
      </w:r>
      <w:r w:rsidR="004C53D2">
        <w:t xml:space="preserve"> </w:t>
      </w:r>
      <w:r w:rsidR="00BE0EE0">
        <w:t xml:space="preserve">in </w:t>
      </w:r>
      <w:r w:rsidR="004C53D2">
        <w:t xml:space="preserve">eigendom van SBB waardoor alleen zij, als eigenaar en toekomstig beheerder, deze versnelling </w:t>
      </w:r>
      <w:r w:rsidR="008A050B">
        <w:t>tot stand kan brengen</w:t>
      </w:r>
      <w:r w:rsidR="00BE0CE6">
        <w:t xml:space="preserve">. </w:t>
      </w:r>
      <w:r w:rsidR="001B022D">
        <w:t xml:space="preserve">SBB </w:t>
      </w:r>
      <w:r w:rsidR="001833E0">
        <w:t>zal zelf de gewenste inrichting moeten bepalen en voorbereiden</w:t>
      </w:r>
      <w:r w:rsidR="00BE0EE0">
        <w:t xml:space="preserve"> in de </w:t>
      </w:r>
      <w:r w:rsidR="001833E0">
        <w:t xml:space="preserve">planvorming, </w:t>
      </w:r>
      <w:r w:rsidR="00C74B3F">
        <w:t xml:space="preserve">aanvragen van de </w:t>
      </w:r>
      <w:r w:rsidR="001833E0">
        <w:t>vergunningen</w:t>
      </w:r>
      <w:r w:rsidR="00501AEC">
        <w:t xml:space="preserve"> </w:t>
      </w:r>
      <w:r w:rsidR="00C74B3F">
        <w:t>voor de inrichtingsmaatregelen</w:t>
      </w:r>
      <w:r w:rsidR="00961FD4">
        <w:t>, directievoering</w:t>
      </w:r>
      <w:r w:rsidR="00BE0EE0">
        <w:t xml:space="preserve"> bij de uitvoering</w:t>
      </w:r>
      <w:r w:rsidR="00463C43">
        <w:t>,</w:t>
      </w:r>
      <w:r w:rsidR="00CE7237">
        <w:t xml:space="preserve"> </w:t>
      </w:r>
      <w:r w:rsidR="00C74B3F">
        <w:t xml:space="preserve">etc. </w:t>
      </w:r>
    </w:p>
    <w:p w14:paraId="4C941A1B" w14:textId="70D7D386" w:rsidR="009E478E" w:rsidRDefault="009E478E" w:rsidP="009E478E">
      <w:r>
        <w:t>Op basis hiervan heeft de provincie Utrecht geconcludeerd dat er geen redelijk alternatief of substituut bestaat. Derhalve is het ontbreken van de mededinging niet het gevolg van een kunstmatige beperking van de voorwaarden van de aanbesteding.</w:t>
      </w:r>
    </w:p>
    <w:p w14:paraId="462B4249" w14:textId="77704807" w:rsidR="00C84278" w:rsidRDefault="00FD3432">
      <w:r w:rsidRPr="00FD3432">
        <w:t>Gelet op bovenstaande is de provincie voornemens om aan Staatsbosbeheer een opdracht te verstrekken voor het verrichten van de voorbereidende werkzaamheden binnen het Programma versnelling inrichting Staatsbosbeheer. De planning voor de inrichting van de betreffende (resterende) 785 hectare in de komende jaren is als volgt: 227 hectare in 2024, 361 hectare in 2025, 87 hectare in 2026 en de laatste 110 hectare in 2027. Op deze wijze kan de provincie Utrecht haar doel van de versnelling van de inrichting van gronden binnen het Natuurnetwerk Nederland in 2027 realiseren.</w:t>
      </w:r>
    </w:p>
    <w:sectPr w:rsidR="00C842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B1691C"/>
    <w:multiLevelType w:val="hybridMultilevel"/>
    <w:tmpl w:val="C33EAB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6A7A6F"/>
    <w:multiLevelType w:val="hybridMultilevel"/>
    <w:tmpl w:val="83FCD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490B44"/>
    <w:multiLevelType w:val="hybridMultilevel"/>
    <w:tmpl w:val="C33EAB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08483051">
    <w:abstractNumId w:val="0"/>
  </w:num>
  <w:num w:numId="2" w16cid:durableId="1412196762">
    <w:abstractNumId w:val="1"/>
  </w:num>
  <w:num w:numId="3" w16cid:durableId="1855995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342"/>
    <w:rsid w:val="000015A9"/>
    <w:rsid w:val="000677F7"/>
    <w:rsid w:val="00073CEE"/>
    <w:rsid w:val="00093BAE"/>
    <w:rsid w:val="00095393"/>
    <w:rsid w:val="000D0C44"/>
    <w:rsid w:val="000E10A5"/>
    <w:rsid w:val="000E406A"/>
    <w:rsid w:val="00105FB7"/>
    <w:rsid w:val="00122635"/>
    <w:rsid w:val="00125534"/>
    <w:rsid w:val="00126E88"/>
    <w:rsid w:val="00134E29"/>
    <w:rsid w:val="00142FF3"/>
    <w:rsid w:val="00143D7F"/>
    <w:rsid w:val="00144929"/>
    <w:rsid w:val="0015568D"/>
    <w:rsid w:val="001833E0"/>
    <w:rsid w:val="00193417"/>
    <w:rsid w:val="001A0D6C"/>
    <w:rsid w:val="001B022D"/>
    <w:rsid w:val="001B719A"/>
    <w:rsid w:val="00232757"/>
    <w:rsid w:val="00237CA8"/>
    <w:rsid w:val="002537C7"/>
    <w:rsid w:val="00272F59"/>
    <w:rsid w:val="00297241"/>
    <w:rsid w:val="002E6C0E"/>
    <w:rsid w:val="002F0469"/>
    <w:rsid w:val="002F73A0"/>
    <w:rsid w:val="003051F1"/>
    <w:rsid w:val="00371041"/>
    <w:rsid w:val="0037463B"/>
    <w:rsid w:val="003819AD"/>
    <w:rsid w:val="00381B8E"/>
    <w:rsid w:val="003A57D8"/>
    <w:rsid w:val="003C08A5"/>
    <w:rsid w:val="003D2CDF"/>
    <w:rsid w:val="004076FC"/>
    <w:rsid w:val="004323A1"/>
    <w:rsid w:val="004426CA"/>
    <w:rsid w:val="004549C0"/>
    <w:rsid w:val="004625A1"/>
    <w:rsid w:val="004627A3"/>
    <w:rsid w:val="00463C43"/>
    <w:rsid w:val="0049557F"/>
    <w:rsid w:val="004B6D91"/>
    <w:rsid w:val="004C5258"/>
    <w:rsid w:val="004C53D2"/>
    <w:rsid w:val="004E08D6"/>
    <w:rsid w:val="004E322F"/>
    <w:rsid w:val="00501AEC"/>
    <w:rsid w:val="0050264D"/>
    <w:rsid w:val="00506238"/>
    <w:rsid w:val="00525610"/>
    <w:rsid w:val="00535E1F"/>
    <w:rsid w:val="00583B5B"/>
    <w:rsid w:val="00583FA4"/>
    <w:rsid w:val="00586DD3"/>
    <w:rsid w:val="00590C87"/>
    <w:rsid w:val="005A01C9"/>
    <w:rsid w:val="005C0B20"/>
    <w:rsid w:val="005F3687"/>
    <w:rsid w:val="00600405"/>
    <w:rsid w:val="00600D5A"/>
    <w:rsid w:val="006206D4"/>
    <w:rsid w:val="006239EA"/>
    <w:rsid w:val="00624DB0"/>
    <w:rsid w:val="006673F1"/>
    <w:rsid w:val="00674ABB"/>
    <w:rsid w:val="006905A4"/>
    <w:rsid w:val="00695F40"/>
    <w:rsid w:val="00697090"/>
    <w:rsid w:val="006B172A"/>
    <w:rsid w:val="006B37DE"/>
    <w:rsid w:val="00704C1A"/>
    <w:rsid w:val="00705A85"/>
    <w:rsid w:val="00715700"/>
    <w:rsid w:val="00730EB3"/>
    <w:rsid w:val="00776871"/>
    <w:rsid w:val="00777D87"/>
    <w:rsid w:val="00784039"/>
    <w:rsid w:val="00794F42"/>
    <w:rsid w:val="007A229D"/>
    <w:rsid w:val="007A52B4"/>
    <w:rsid w:val="007B0DEC"/>
    <w:rsid w:val="007B53FF"/>
    <w:rsid w:val="007D6CB1"/>
    <w:rsid w:val="00816DBE"/>
    <w:rsid w:val="008247A9"/>
    <w:rsid w:val="00826F1E"/>
    <w:rsid w:val="00841F2E"/>
    <w:rsid w:val="00862B44"/>
    <w:rsid w:val="0088028A"/>
    <w:rsid w:val="0088248D"/>
    <w:rsid w:val="00887FE9"/>
    <w:rsid w:val="00896DD2"/>
    <w:rsid w:val="008977B4"/>
    <w:rsid w:val="008A050B"/>
    <w:rsid w:val="008B0BE6"/>
    <w:rsid w:val="008D2613"/>
    <w:rsid w:val="008D5727"/>
    <w:rsid w:val="008D6AB7"/>
    <w:rsid w:val="008D7E5F"/>
    <w:rsid w:val="009149AA"/>
    <w:rsid w:val="00931E89"/>
    <w:rsid w:val="00947CAC"/>
    <w:rsid w:val="00961FD4"/>
    <w:rsid w:val="009641F2"/>
    <w:rsid w:val="009C4106"/>
    <w:rsid w:val="009D1A9C"/>
    <w:rsid w:val="009D7FD9"/>
    <w:rsid w:val="009E063C"/>
    <w:rsid w:val="009E09E2"/>
    <w:rsid w:val="009E478E"/>
    <w:rsid w:val="009E620D"/>
    <w:rsid w:val="00A04437"/>
    <w:rsid w:val="00A12448"/>
    <w:rsid w:val="00A13EC4"/>
    <w:rsid w:val="00A17565"/>
    <w:rsid w:val="00A2519D"/>
    <w:rsid w:val="00A4614B"/>
    <w:rsid w:val="00A46868"/>
    <w:rsid w:val="00A546E0"/>
    <w:rsid w:val="00A54B9E"/>
    <w:rsid w:val="00A82762"/>
    <w:rsid w:val="00AB08D0"/>
    <w:rsid w:val="00AE4917"/>
    <w:rsid w:val="00B13E1A"/>
    <w:rsid w:val="00B2433F"/>
    <w:rsid w:val="00B5141E"/>
    <w:rsid w:val="00B61B91"/>
    <w:rsid w:val="00B671CB"/>
    <w:rsid w:val="00B776E7"/>
    <w:rsid w:val="00B867AB"/>
    <w:rsid w:val="00BB0080"/>
    <w:rsid w:val="00BB1807"/>
    <w:rsid w:val="00BB24F4"/>
    <w:rsid w:val="00BB25C0"/>
    <w:rsid w:val="00BC6F6B"/>
    <w:rsid w:val="00BE0CE6"/>
    <w:rsid w:val="00BE0EE0"/>
    <w:rsid w:val="00BE2797"/>
    <w:rsid w:val="00BF494B"/>
    <w:rsid w:val="00BF4F4F"/>
    <w:rsid w:val="00C15814"/>
    <w:rsid w:val="00C420C4"/>
    <w:rsid w:val="00C4456F"/>
    <w:rsid w:val="00C61945"/>
    <w:rsid w:val="00C74B3F"/>
    <w:rsid w:val="00C84278"/>
    <w:rsid w:val="00C849EC"/>
    <w:rsid w:val="00C868AA"/>
    <w:rsid w:val="00C94AD2"/>
    <w:rsid w:val="00CA4051"/>
    <w:rsid w:val="00CA758C"/>
    <w:rsid w:val="00CD1BA4"/>
    <w:rsid w:val="00CD31F1"/>
    <w:rsid w:val="00CE7237"/>
    <w:rsid w:val="00D20051"/>
    <w:rsid w:val="00D250EC"/>
    <w:rsid w:val="00D4462F"/>
    <w:rsid w:val="00D74F7D"/>
    <w:rsid w:val="00D81E86"/>
    <w:rsid w:val="00D95AD5"/>
    <w:rsid w:val="00DA26BA"/>
    <w:rsid w:val="00DD40FB"/>
    <w:rsid w:val="00DD71E9"/>
    <w:rsid w:val="00DF2CA5"/>
    <w:rsid w:val="00DF7AB1"/>
    <w:rsid w:val="00E62F6C"/>
    <w:rsid w:val="00E65C73"/>
    <w:rsid w:val="00E80111"/>
    <w:rsid w:val="00EA406E"/>
    <w:rsid w:val="00EB1761"/>
    <w:rsid w:val="00EC2C68"/>
    <w:rsid w:val="00EC3BFF"/>
    <w:rsid w:val="00ED61B0"/>
    <w:rsid w:val="00EE5BA9"/>
    <w:rsid w:val="00EF0C34"/>
    <w:rsid w:val="00F02B47"/>
    <w:rsid w:val="00F17C9F"/>
    <w:rsid w:val="00F46342"/>
    <w:rsid w:val="00F84EED"/>
    <w:rsid w:val="00FA21C0"/>
    <w:rsid w:val="00FA2B09"/>
    <w:rsid w:val="00FA36B8"/>
    <w:rsid w:val="00FB054E"/>
    <w:rsid w:val="00FD2335"/>
    <w:rsid w:val="00FD3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583E"/>
  <w15:chartTrackingRefBased/>
  <w15:docId w15:val="{6A643BE9-DF83-407A-8291-D8D46811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015A9"/>
    <w:pPr>
      <w:spacing w:after="0" w:line="240" w:lineRule="exact"/>
      <w:ind w:left="720"/>
      <w:contextualSpacing/>
    </w:pPr>
    <w:rPr>
      <w:rFonts w:ascii="Arial" w:eastAsia="Calibri" w:hAnsi="Arial" w:cs="Arial"/>
      <w:kern w:val="0"/>
      <w:sz w:val="18"/>
      <w:szCs w:val="18"/>
      <w14:ligatures w14:val="none"/>
    </w:rPr>
  </w:style>
  <w:style w:type="character" w:styleId="Verwijzingopmerking">
    <w:name w:val="annotation reference"/>
    <w:basedOn w:val="Standaardalinea-lettertype"/>
    <w:uiPriority w:val="99"/>
    <w:semiHidden/>
    <w:unhideWhenUsed/>
    <w:rsid w:val="009641F2"/>
    <w:rPr>
      <w:sz w:val="16"/>
      <w:szCs w:val="16"/>
    </w:rPr>
  </w:style>
  <w:style w:type="paragraph" w:styleId="Tekstopmerking">
    <w:name w:val="annotation text"/>
    <w:basedOn w:val="Standaard"/>
    <w:link w:val="TekstopmerkingChar"/>
    <w:uiPriority w:val="99"/>
    <w:unhideWhenUsed/>
    <w:rsid w:val="009641F2"/>
    <w:pPr>
      <w:spacing w:line="240" w:lineRule="auto"/>
    </w:pPr>
    <w:rPr>
      <w:sz w:val="20"/>
      <w:szCs w:val="20"/>
    </w:rPr>
  </w:style>
  <w:style w:type="character" w:customStyle="1" w:styleId="TekstopmerkingChar">
    <w:name w:val="Tekst opmerking Char"/>
    <w:basedOn w:val="Standaardalinea-lettertype"/>
    <w:link w:val="Tekstopmerking"/>
    <w:uiPriority w:val="99"/>
    <w:rsid w:val="009641F2"/>
    <w:rPr>
      <w:sz w:val="20"/>
      <w:szCs w:val="20"/>
    </w:rPr>
  </w:style>
  <w:style w:type="paragraph" w:styleId="Onderwerpvanopmerking">
    <w:name w:val="annotation subject"/>
    <w:basedOn w:val="Tekstopmerking"/>
    <w:next w:val="Tekstopmerking"/>
    <w:link w:val="OnderwerpvanopmerkingChar"/>
    <w:uiPriority w:val="99"/>
    <w:semiHidden/>
    <w:unhideWhenUsed/>
    <w:rsid w:val="009641F2"/>
    <w:rPr>
      <w:b/>
      <w:bCs/>
    </w:rPr>
  </w:style>
  <w:style w:type="character" w:customStyle="1" w:styleId="OnderwerpvanopmerkingChar">
    <w:name w:val="Onderwerp van opmerking Char"/>
    <w:basedOn w:val="TekstopmerkingChar"/>
    <w:link w:val="Onderwerpvanopmerking"/>
    <w:uiPriority w:val="99"/>
    <w:semiHidden/>
    <w:rsid w:val="009641F2"/>
    <w:rPr>
      <w:b/>
      <w:bCs/>
      <w:sz w:val="20"/>
      <w:szCs w:val="20"/>
    </w:rPr>
  </w:style>
  <w:style w:type="paragraph" w:styleId="Revisie">
    <w:name w:val="Revision"/>
    <w:hidden/>
    <w:uiPriority w:val="99"/>
    <w:semiHidden/>
    <w:rsid w:val="007A22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761</Words>
  <Characters>4188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Takens, Sharon</dc:creator>
  <cp:keywords/>
  <dc:description/>
  <cp:lastModifiedBy>Stelt, Teus van der</cp:lastModifiedBy>
  <cp:revision>2</cp:revision>
  <cp:lastPrinted>2024-04-25T07:50:00Z</cp:lastPrinted>
  <dcterms:created xsi:type="dcterms:W3CDTF">2024-05-08T11:52:00Z</dcterms:created>
  <dcterms:modified xsi:type="dcterms:W3CDTF">2024-05-08T11:52:00Z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1967759081</vt:i4>
  </property>
  <property fmtid="{D5CDD505-2E9C-101B-9397-08002B2CF9AE}" pid="3" name="_NewReviewCycle">
    <vt:lpwstr/>
  </property>
  <property fmtid="{D5CDD505-2E9C-101B-9397-08002B2CF9AE}" pid="4" name="_EmailSubject">
    <vt:lpwstr>programma versnelling inrichting NNN gronden van Staatsbosbeheer - toetsing vrijwillige transparantie publicatie TenderNed</vt:lpwstr>
  </property>
  <property fmtid="{D5CDD505-2E9C-101B-9397-08002B2CF9AE}" pid="5" name="_AuthorEmail">
    <vt:lpwstr>maeike.pebesma@provincie-utrecht.nl</vt:lpwstr>
  </property>
  <property fmtid="{D5CDD505-2E9C-101B-9397-08002B2CF9AE}" pid="6" name="_AuthorEmailDisplayName">
    <vt:lpwstr>Pebesma, Maeike</vt:lpwstr>
  </property>
  <property fmtid="{D5CDD505-2E9C-101B-9397-08002B2CF9AE}" pid="7" name="_PreviousAdHocReviewCycleID">
    <vt:i4>-361739234</vt:i4>
  </property>
  <property fmtid="{D5CDD505-2E9C-101B-9397-08002B2CF9AE}" pid="8" name="_ReviewingToolsShownOnce">
    <vt:lpwstr/>
  </property>
</Properties>
</file>