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E9E5C" w14:textId="77777777" w:rsidR="004258D4" w:rsidRPr="00970729" w:rsidRDefault="00E97F3A" w:rsidP="004258D4">
      <w:pPr>
        <w:pStyle w:val="Lijstnummering"/>
        <w:numPr>
          <w:ilvl w:val="0"/>
          <w:numId w:val="0"/>
        </w:numPr>
        <w:rPr>
          <w:b/>
          <w:sz w:val="28"/>
          <w:szCs w:val="28"/>
        </w:rPr>
      </w:pPr>
      <w:r>
        <w:rPr>
          <w:b/>
          <w:sz w:val="28"/>
          <w:szCs w:val="28"/>
        </w:rPr>
        <w:t>Bijlage 1</w:t>
      </w:r>
      <w:r w:rsidR="00970729" w:rsidRPr="00970729">
        <w:rPr>
          <w:b/>
          <w:sz w:val="28"/>
          <w:szCs w:val="28"/>
        </w:rPr>
        <w:t xml:space="preserve"> </w:t>
      </w:r>
      <w:r>
        <w:rPr>
          <w:b/>
          <w:sz w:val="28"/>
          <w:szCs w:val="28"/>
        </w:rPr>
        <w:t>Programma van Eisen</w:t>
      </w:r>
      <w:r w:rsidR="003E4737">
        <w:rPr>
          <w:b/>
          <w:sz w:val="28"/>
          <w:szCs w:val="28"/>
        </w:rPr>
        <w:t xml:space="preserve"> </w:t>
      </w:r>
    </w:p>
    <w:p w14:paraId="168E0DAF" w14:textId="77777777" w:rsidR="00970729" w:rsidRDefault="00970729" w:rsidP="004258D4">
      <w:pPr>
        <w:pStyle w:val="Lijstnummering"/>
        <w:numPr>
          <w:ilvl w:val="0"/>
          <w:numId w:val="0"/>
        </w:numPr>
      </w:pPr>
    </w:p>
    <w:p w14:paraId="62AFB961" w14:textId="77777777" w:rsidR="00970729" w:rsidRDefault="00D86101" w:rsidP="00D86101">
      <w:pPr>
        <w:pStyle w:val="Lijstnummering"/>
        <w:numPr>
          <w:ilvl w:val="0"/>
          <w:numId w:val="0"/>
        </w:numPr>
        <w:ind w:left="360" w:hanging="360"/>
      </w:pPr>
      <w:r>
        <w:t>Europese openbare aanbesteding “Opstellen zeven Wijkmobiliteitsplannen”</w:t>
      </w:r>
      <w:r w:rsidR="00970729">
        <w:t>.</w:t>
      </w:r>
    </w:p>
    <w:p w14:paraId="0A67B108" w14:textId="77777777" w:rsidR="00970729" w:rsidRDefault="00970729" w:rsidP="004258D4">
      <w:pPr>
        <w:pStyle w:val="Lijstnummering"/>
        <w:numPr>
          <w:ilvl w:val="0"/>
          <w:numId w:val="0"/>
        </w:numPr>
      </w:pPr>
    </w:p>
    <w:p w14:paraId="46FF3DDF" w14:textId="77777777" w:rsidR="00E97F3A" w:rsidRDefault="00E97F3A" w:rsidP="00E97F3A">
      <w:r>
        <w:t xml:space="preserve">Inschrijver wordt verzocht deze bijlage volledig in te vullen en als bijlage bij </w:t>
      </w:r>
      <w:r w:rsidR="00D86101">
        <w:t xml:space="preserve">Inschrijving </w:t>
      </w:r>
      <w:r>
        <w:t>te voegen.</w:t>
      </w:r>
    </w:p>
    <w:p w14:paraId="48F5762B" w14:textId="77777777" w:rsidR="00E97F3A" w:rsidRDefault="00E97F3A" w:rsidP="00E97F3A"/>
    <w:p w14:paraId="0BC32784" w14:textId="77777777" w:rsidR="00E97F3A" w:rsidRDefault="00E97F3A" w:rsidP="00E97F3A">
      <w:r>
        <w:t>Inschrijver wordt verzocht van alle in de bijlage genoemde eisen te verklaren of Inschrijver deze voorschriften accepteert en conform de procedure handelt / heeft gehandeld. Inschrijver dient, indien Inschrijver de eisen accepteert, in de tabellen in de daarvoor bestemde kolom een ‘ja’ te plaatsen, een ‘nee’ leidt tot uitsluiting.</w:t>
      </w:r>
    </w:p>
    <w:p w14:paraId="58CFA8E6" w14:textId="77777777" w:rsidR="00E97F3A" w:rsidRDefault="00E97F3A" w:rsidP="00E97F3A"/>
    <w:p w14:paraId="318F775E" w14:textId="77777777" w:rsidR="006B0BF5" w:rsidRDefault="00E97F3A" w:rsidP="00E97F3A">
      <w:r>
        <w:t>Inschrijver dient zich aan onderstaande voorschriften te houden. Afwijkingen van hetgeen is voorgeschreven worden niet geaccepteerd en leiden tot ongeldigheid en/of het niet (verder) in behandeling nemen van de Inschrijving.</w:t>
      </w:r>
    </w:p>
    <w:p w14:paraId="67E315A1" w14:textId="77777777" w:rsidR="00E97F3A" w:rsidRDefault="00E97F3A" w:rsidP="00E97F3A"/>
    <w:tbl>
      <w:tblPr>
        <w:tblStyle w:val="Tabelraster"/>
        <w:tblW w:w="0" w:type="auto"/>
        <w:tblLook w:val="04A0" w:firstRow="1" w:lastRow="0" w:firstColumn="1" w:lastColumn="0" w:noHBand="0" w:noVBand="1"/>
      </w:tblPr>
      <w:tblGrid>
        <w:gridCol w:w="494"/>
        <w:gridCol w:w="7865"/>
        <w:gridCol w:w="986"/>
      </w:tblGrid>
      <w:tr w:rsidR="00E97F3A" w14:paraId="0C266E17" w14:textId="77777777" w:rsidTr="001E1972">
        <w:tc>
          <w:tcPr>
            <w:tcW w:w="494" w:type="dxa"/>
            <w:shd w:val="clear" w:color="auto" w:fill="C00000"/>
          </w:tcPr>
          <w:p w14:paraId="0DC1C271" w14:textId="77777777" w:rsidR="00E97F3A" w:rsidRPr="00E97F3A" w:rsidRDefault="00E97F3A" w:rsidP="00E97F3A">
            <w:pPr>
              <w:rPr>
                <w:b/>
                <w:color w:val="FFFFFF" w:themeColor="background1"/>
              </w:rPr>
            </w:pPr>
            <w:r w:rsidRPr="00E97F3A">
              <w:rPr>
                <w:b/>
                <w:color w:val="FFFFFF" w:themeColor="background1"/>
              </w:rPr>
              <w:t>Nr.</w:t>
            </w:r>
          </w:p>
        </w:tc>
        <w:tc>
          <w:tcPr>
            <w:tcW w:w="7865" w:type="dxa"/>
            <w:shd w:val="clear" w:color="auto" w:fill="C00000"/>
          </w:tcPr>
          <w:p w14:paraId="5D4D33AE" w14:textId="77777777" w:rsidR="00E97F3A" w:rsidRPr="00E97F3A" w:rsidRDefault="00E97F3A" w:rsidP="00E97F3A">
            <w:pPr>
              <w:rPr>
                <w:b/>
                <w:color w:val="FFFFFF" w:themeColor="background1"/>
              </w:rPr>
            </w:pPr>
            <w:r w:rsidRPr="00E97F3A">
              <w:rPr>
                <w:b/>
                <w:color w:val="FFFFFF" w:themeColor="background1"/>
              </w:rPr>
              <w:t>Inhoudelijke eisen uitvoering opdracht</w:t>
            </w:r>
          </w:p>
        </w:tc>
        <w:tc>
          <w:tcPr>
            <w:tcW w:w="986" w:type="dxa"/>
            <w:shd w:val="clear" w:color="auto" w:fill="C00000"/>
          </w:tcPr>
          <w:p w14:paraId="75C470C0" w14:textId="77777777" w:rsidR="00E97F3A" w:rsidRPr="00E97F3A" w:rsidRDefault="00E97F3A" w:rsidP="00E97F3A">
            <w:pPr>
              <w:rPr>
                <w:b/>
                <w:color w:val="FFFFFF" w:themeColor="background1"/>
              </w:rPr>
            </w:pPr>
            <w:r w:rsidRPr="00E97F3A">
              <w:rPr>
                <w:b/>
                <w:color w:val="FFFFFF" w:themeColor="background1"/>
              </w:rPr>
              <w:t>JA/NEE</w:t>
            </w:r>
          </w:p>
        </w:tc>
      </w:tr>
      <w:tr w:rsidR="00757C86" w14:paraId="6C50118F" w14:textId="77777777" w:rsidTr="001E1972">
        <w:tc>
          <w:tcPr>
            <w:tcW w:w="494" w:type="dxa"/>
          </w:tcPr>
          <w:p w14:paraId="395A110B" w14:textId="651C4485" w:rsidR="00757C86" w:rsidRDefault="00EF3829" w:rsidP="00E97F3A">
            <w:r>
              <w:t>1</w:t>
            </w:r>
          </w:p>
        </w:tc>
        <w:tc>
          <w:tcPr>
            <w:tcW w:w="7865" w:type="dxa"/>
          </w:tcPr>
          <w:p w14:paraId="4F4C9EAC" w14:textId="77777777" w:rsidR="00757C86" w:rsidRDefault="00757C86" w:rsidP="00177B05">
            <w:r>
              <w:t>A</w:t>
            </w:r>
            <w:r w:rsidRPr="00757C86">
              <w:t xml:space="preserve">ls algemeen uitgangspunt </w:t>
            </w:r>
            <w:r>
              <w:t xml:space="preserve">geldt </w:t>
            </w:r>
            <w:r w:rsidRPr="00757C86">
              <w:t>dat de Opdrachtnemer namens de gemeente de trekkende en stuwende rol vervult om de projectopdracht uit te voeren. De gemeente Gouda verwacht van de Opdrachtnemer een (pro)actieve inzet.</w:t>
            </w:r>
          </w:p>
        </w:tc>
        <w:tc>
          <w:tcPr>
            <w:tcW w:w="986" w:type="dxa"/>
          </w:tcPr>
          <w:p w14:paraId="497017DB" w14:textId="77777777" w:rsidR="00757C86" w:rsidRDefault="00757C86" w:rsidP="00E97F3A"/>
        </w:tc>
      </w:tr>
      <w:tr w:rsidR="004A0681" w14:paraId="19E055D8" w14:textId="77777777" w:rsidTr="001E1972">
        <w:tc>
          <w:tcPr>
            <w:tcW w:w="494" w:type="dxa"/>
          </w:tcPr>
          <w:p w14:paraId="56BE9575" w14:textId="087D8ED1" w:rsidR="004A0681" w:rsidRDefault="00EF3829" w:rsidP="00E97F3A">
            <w:r>
              <w:t>2</w:t>
            </w:r>
          </w:p>
        </w:tc>
        <w:tc>
          <w:tcPr>
            <w:tcW w:w="7865" w:type="dxa"/>
          </w:tcPr>
          <w:p w14:paraId="687882BE" w14:textId="77777777" w:rsidR="004A0681" w:rsidRDefault="004A0681" w:rsidP="005B6A49">
            <w:r w:rsidRPr="005B6A49">
              <w:t>Opdrachtnemer organiseert een startoverleg in het Huis van</w:t>
            </w:r>
            <w:r>
              <w:t xml:space="preserve"> de Stad (te Gouda), Opdrachtgever faciliteert de locatie.</w:t>
            </w:r>
            <w:r w:rsidR="005B6A49">
              <w:t xml:space="preserve"> Dit startoverleg dient als kennismaking en gezamenlijke uitdieping van het Plan van Aanpak.</w:t>
            </w:r>
          </w:p>
        </w:tc>
        <w:tc>
          <w:tcPr>
            <w:tcW w:w="986" w:type="dxa"/>
          </w:tcPr>
          <w:p w14:paraId="723C99AC" w14:textId="77777777" w:rsidR="004A0681" w:rsidRDefault="004A0681" w:rsidP="00E97F3A"/>
        </w:tc>
      </w:tr>
      <w:tr w:rsidR="00E97F3A" w14:paraId="51ADAACE" w14:textId="77777777" w:rsidTr="001E1972">
        <w:tc>
          <w:tcPr>
            <w:tcW w:w="494" w:type="dxa"/>
          </w:tcPr>
          <w:p w14:paraId="4E4A0AC5" w14:textId="53DC9C00" w:rsidR="00E97F3A" w:rsidRDefault="00EF3829" w:rsidP="00E97F3A">
            <w:r>
              <w:t>3</w:t>
            </w:r>
          </w:p>
        </w:tc>
        <w:tc>
          <w:tcPr>
            <w:tcW w:w="7865" w:type="dxa"/>
          </w:tcPr>
          <w:p w14:paraId="098C1677" w14:textId="77777777" w:rsidR="00E97F3A" w:rsidRDefault="00177B05" w:rsidP="00D86101">
            <w:r>
              <w:t>Opdrachtnemer is verantwoordelijk voor de inhoud van alle overleggen en werksessies.</w:t>
            </w:r>
            <w:r w:rsidR="00D86101">
              <w:t xml:space="preserve"> Denk hierbij (voor zover relevant) aan </w:t>
            </w:r>
            <w:r w:rsidR="00954765">
              <w:t>uitnodigingen, een agenda, een presentatie, het verslag</w:t>
            </w:r>
            <w:r w:rsidR="00D86101">
              <w:t>, actiepuntenlijsten (en de opvolging daarvan),</w:t>
            </w:r>
            <w:r w:rsidR="00954765">
              <w:t xml:space="preserve"> besluitenlijsten, </w:t>
            </w:r>
            <w:r w:rsidR="00D86101">
              <w:t xml:space="preserve">en </w:t>
            </w:r>
            <w:r w:rsidR="00954765">
              <w:t>een up-to-date planning. Opdrachtgever faciliteert enkel de locatie en de verzending van huis-aan-huisbrieven.</w:t>
            </w:r>
          </w:p>
        </w:tc>
        <w:tc>
          <w:tcPr>
            <w:tcW w:w="986" w:type="dxa"/>
          </w:tcPr>
          <w:p w14:paraId="5E46801C" w14:textId="77777777" w:rsidR="00E97F3A" w:rsidRDefault="00E97F3A" w:rsidP="00E97F3A"/>
        </w:tc>
      </w:tr>
      <w:tr w:rsidR="00E97F3A" w14:paraId="107296CF" w14:textId="77777777" w:rsidTr="001E1972">
        <w:tc>
          <w:tcPr>
            <w:tcW w:w="494" w:type="dxa"/>
          </w:tcPr>
          <w:p w14:paraId="0E7E8B9D" w14:textId="6541C07C" w:rsidR="00E97F3A" w:rsidRDefault="00EF3829" w:rsidP="00E97F3A">
            <w:r>
              <w:t>4</w:t>
            </w:r>
          </w:p>
        </w:tc>
        <w:tc>
          <w:tcPr>
            <w:tcW w:w="7865" w:type="dxa"/>
          </w:tcPr>
          <w:p w14:paraId="27BEB34B" w14:textId="77777777" w:rsidR="00E97F3A" w:rsidRDefault="00954765" w:rsidP="00A54927">
            <w:r>
              <w:t>Opdrachtnemer</w:t>
            </w:r>
            <w:r w:rsidR="00A54927">
              <w:t xml:space="preserve"> leidt alle overleggen en werksessies, en verzorgt het voorzitterschap. De werkvorm en de agenda wordt vastgesteld in overleg met Opdrachtgever.</w:t>
            </w:r>
          </w:p>
        </w:tc>
        <w:tc>
          <w:tcPr>
            <w:tcW w:w="986" w:type="dxa"/>
          </w:tcPr>
          <w:p w14:paraId="59F112FF" w14:textId="77777777" w:rsidR="00E97F3A" w:rsidRDefault="00E97F3A" w:rsidP="00E97F3A"/>
        </w:tc>
      </w:tr>
      <w:tr w:rsidR="00E97F3A" w14:paraId="61824938" w14:textId="77777777" w:rsidTr="001E1972">
        <w:tc>
          <w:tcPr>
            <w:tcW w:w="494" w:type="dxa"/>
          </w:tcPr>
          <w:p w14:paraId="17103255" w14:textId="460592A9" w:rsidR="00E97F3A" w:rsidRDefault="00693C7A" w:rsidP="00E97F3A">
            <w:r>
              <w:t>5</w:t>
            </w:r>
          </w:p>
        </w:tc>
        <w:tc>
          <w:tcPr>
            <w:tcW w:w="7865" w:type="dxa"/>
          </w:tcPr>
          <w:p w14:paraId="6367A405" w14:textId="77777777" w:rsidR="00E97F3A" w:rsidRDefault="00A54927" w:rsidP="00664BF3">
            <w:r>
              <w:t xml:space="preserve">Opdrachtnemer maakt en verzorgt de presentaties die onderdeel uitmaken van </w:t>
            </w:r>
            <w:r w:rsidR="00664BF3">
              <w:t xml:space="preserve">de overleggen, werksessies, online presentaties en </w:t>
            </w:r>
            <w:r>
              <w:t>het bestuurlijke besluitvormingstraject.</w:t>
            </w:r>
          </w:p>
        </w:tc>
        <w:tc>
          <w:tcPr>
            <w:tcW w:w="986" w:type="dxa"/>
          </w:tcPr>
          <w:p w14:paraId="1A0C360D" w14:textId="77777777" w:rsidR="00E97F3A" w:rsidRDefault="00E97F3A" w:rsidP="00E97F3A"/>
        </w:tc>
      </w:tr>
      <w:tr w:rsidR="00E97F3A" w14:paraId="4916DF0F" w14:textId="77777777" w:rsidTr="001E1972">
        <w:tc>
          <w:tcPr>
            <w:tcW w:w="494" w:type="dxa"/>
          </w:tcPr>
          <w:p w14:paraId="5E3FC188" w14:textId="5ED83FEC" w:rsidR="00E97F3A" w:rsidRDefault="00693C7A" w:rsidP="00E97F3A">
            <w:r>
              <w:t>6</w:t>
            </w:r>
          </w:p>
        </w:tc>
        <w:tc>
          <w:tcPr>
            <w:tcW w:w="7865" w:type="dxa"/>
          </w:tcPr>
          <w:p w14:paraId="4EF07697" w14:textId="77777777" w:rsidR="00E97F3A" w:rsidRDefault="00EA4EC7" w:rsidP="00E97F3A">
            <w:r>
              <w:t xml:space="preserve">Van alle te maken producten levert Opdrachtnemer twee concept- en één definitieve versie in Word, Excel, </w:t>
            </w:r>
            <w:proofErr w:type="spellStart"/>
            <w:r>
              <w:t>Powerpoint</w:t>
            </w:r>
            <w:proofErr w:type="spellEnd"/>
            <w:r>
              <w:t>, en</w:t>
            </w:r>
            <w:r w:rsidR="00D86101">
              <w:t>/of</w:t>
            </w:r>
            <w:r>
              <w:t xml:space="preserve"> GIS</w:t>
            </w:r>
            <w:r w:rsidR="00C72319">
              <w:t>.</w:t>
            </w:r>
          </w:p>
        </w:tc>
        <w:tc>
          <w:tcPr>
            <w:tcW w:w="986" w:type="dxa"/>
          </w:tcPr>
          <w:p w14:paraId="7A02662E" w14:textId="77777777" w:rsidR="00E97F3A" w:rsidRDefault="00E97F3A" w:rsidP="00E97F3A"/>
        </w:tc>
      </w:tr>
      <w:tr w:rsidR="008D0D62" w14:paraId="7426755B" w14:textId="77777777" w:rsidTr="001E1972">
        <w:tc>
          <w:tcPr>
            <w:tcW w:w="494" w:type="dxa"/>
          </w:tcPr>
          <w:p w14:paraId="0D780F1B" w14:textId="29193B78" w:rsidR="008D0D62" w:rsidRDefault="00693C7A" w:rsidP="00E97F3A">
            <w:r>
              <w:t>7</w:t>
            </w:r>
          </w:p>
        </w:tc>
        <w:tc>
          <w:tcPr>
            <w:tcW w:w="7865" w:type="dxa"/>
          </w:tcPr>
          <w:p w14:paraId="51E82B51" w14:textId="77777777" w:rsidR="008D0D62" w:rsidRDefault="008D0D62" w:rsidP="008D0D62">
            <w:r>
              <w:t>De Opdrachtnemer legt een risicodossier aan dat gedurende het project bijgehouden wordt. De Opdrachtnemer dient tijdig projectrisico’s te identificeren, analyseren,  actualiseren, beheersen en te communiceren om uitvoering van de opdracht op  integrale, expliciete en transparante wijze te beheersen op de aspecten tijd en geld.</w:t>
            </w:r>
          </w:p>
        </w:tc>
        <w:tc>
          <w:tcPr>
            <w:tcW w:w="986" w:type="dxa"/>
          </w:tcPr>
          <w:p w14:paraId="52D29838" w14:textId="77777777" w:rsidR="008D0D62" w:rsidRDefault="008D0D62" w:rsidP="00E97F3A"/>
        </w:tc>
      </w:tr>
      <w:tr w:rsidR="00E97F3A" w14:paraId="5804F3E7" w14:textId="77777777" w:rsidTr="001E1972">
        <w:tc>
          <w:tcPr>
            <w:tcW w:w="494" w:type="dxa"/>
          </w:tcPr>
          <w:p w14:paraId="02711C2C" w14:textId="04CD420A" w:rsidR="00E97F3A" w:rsidRDefault="00693C7A" w:rsidP="00E97F3A">
            <w:r>
              <w:t>8</w:t>
            </w:r>
          </w:p>
        </w:tc>
        <w:tc>
          <w:tcPr>
            <w:tcW w:w="7865" w:type="dxa"/>
          </w:tcPr>
          <w:p w14:paraId="48527E0E" w14:textId="77777777" w:rsidR="00E97F3A" w:rsidRDefault="00C72319" w:rsidP="00E97F3A">
            <w:r>
              <w:t>Opdrachtnemer verzorgt de kwaliteitsborging. Issues inclusief oplossingen (in tijd en geld) dienden direct bij de projectleider van Opdrachtgever gemeld te worden.</w:t>
            </w:r>
          </w:p>
        </w:tc>
        <w:tc>
          <w:tcPr>
            <w:tcW w:w="986" w:type="dxa"/>
          </w:tcPr>
          <w:p w14:paraId="1FBAB02A" w14:textId="77777777" w:rsidR="00E97F3A" w:rsidRDefault="00E97F3A" w:rsidP="00E97F3A"/>
        </w:tc>
      </w:tr>
      <w:tr w:rsidR="00E97F3A" w14:paraId="1742E6A5" w14:textId="77777777" w:rsidTr="001E1972">
        <w:tc>
          <w:tcPr>
            <w:tcW w:w="494" w:type="dxa"/>
          </w:tcPr>
          <w:p w14:paraId="510DCB0B" w14:textId="516B2AEF" w:rsidR="00E97F3A" w:rsidRDefault="00693C7A" w:rsidP="00E97F3A">
            <w:r>
              <w:t>9</w:t>
            </w:r>
          </w:p>
        </w:tc>
        <w:tc>
          <w:tcPr>
            <w:tcW w:w="7865" w:type="dxa"/>
          </w:tcPr>
          <w:p w14:paraId="193354F1" w14:textId="77777777" w:rsidR="00E97F3A" w:rsidRDefault="00C72319" w:rsidP="00E97F3A">
            <w:r>
              <w:t xml:space="preserve">Door Opdrachtnemer wordt vanaf het startoverleg tot het einde van de opdracht een planning, </w:t>
            </w:r>
            <w:r w:rsidR="008D0D62">
              <w:t xml:space="preserve">risicodossier </w:t>
            </w:r>
            <w:r>
              <w:t>en een actie- en besluitenlijst opgesteld, tweewekelijks geactualiseerd en de voortgang in een logboek vastgesteld. Dit ter bespreking tijdens het Projectleidersoverleg.</w:t>
            </w:r>
          </w:p>
        </w:tc>
        <w:tc>
          <w:tcPr>
            <w:tcW w:w="986" w:type="dxa"/>
          </w:tcPr>
          <w:p w14:paraId="614E6343" w14:textId="77777777" w:rsidR="00E97F3A" w:rsidRDefault="00E97F3A" w:rsidP="00E97F3A"/>
        </w:tc>
      </w:tr>
      <w:tr w:rsidR="00757C86" w14:paraId="608D09AD" w14:textId="77777777" w:rsidTr="001E1972">
        <w:tc>
          <w:tcPr>
            <w:tcW w:w="494" w:type="dxa"/>
          </w:tcPr>
          <w:p w14:paraId="7C971198" w14:textId="1932A508" w:rsidR="00757C86" w:rsidRDefault="00693C7A" w:rsidP="00E97F3A">
            <w:r>
              <w:t>10</w:t>
            </w:r>
          </w:p>
        </w:tc>
        <w:tc>
          <w:tcPr>
            <w:tcW w:w="7865" w:type="dxa"/>
          </w:tcPr>
          <w:p w14:paraId="4A8AE343" w14:textId="77777777" w:rsidR="004A0681" w:rsidRDefault="004A0681" w:rsidP="004A0681">
            <w:r>
              <w:t>De planning dient minimaal:</w:t>
            </w:r>
          </w:p>
          <w:p w14:paraId="4D3D62AC" w14:textId="68D94043" w:rsidR="004A0681" w:rsidRDefault="004A0681" w:rsidP="00693C7A">
            <w:pPr>
              <w:pStyle w:val="Lijstalinea"/>
              <w:numPr>
                <w:ilvl w:val="0"/>
                <w:numId w:val="27"/>
              </w:numPr>
              <w:tabs>
                <w:tab w:val="clear" w:pos="437"/>
                <w:tab w:val="left" w:pos="381"/>
              </w:tabs>
              <w:ind w:left="381" w:hanging="284"/>
            </w:pPr>
            <w:r>
              <w:t xml:space="preserve">een gesloten netwerk te zijn, wat betekent dat ieder activiteit een voorganger en </w:t>
            </w:r>
            <w:r w:rsidR="00693C7A">
              <w:t xml:space="preserve"> </w:t>
            </w:r>
            <w:r>
              <w:t xml:space="preserve">een opvolger heeft, met uitzondering van het eerste en laatste activiteit; </w:t>
            </w:r>
          </w:p>
          <w:p w14:paraId="46FF3873" w14:textId="1C0A558B" w:rsidR="004A0681" w:rsidRDefault="004A0681" w:rsidP="006A08DD">
            <w:pPr>
              <w:pStyle w:val="Lijstalinea"/>
              <w:numPr>
                <w:ilvl w:val="0"/>
                <w:numId w:val="27"/>
              </w:numPr>
              <w:tabs>
                <w:tab w:val="clear" w:pos="437"/>
                <w:tab w:val="left" w:pos="381"/>
              </w:tabs>
              <w:ind w:left="381" w:hanging="284"/>
            </w:pPr>
            <w:r>
              <w:t xml:space="preserve">(het) kritieke pad(en) duidelijk weer te geven; </w:t>
            </w:r>
          </w:p>
          <w:p w14:paraId="4825770F" w14:textId="4E4FF96B" w:rsidR="004A0681" w:rsidRDefault="004A0681" w:rsidP="006A08DD">
            <w:pPr>
              <w:pStyle w:val="Lijstalinea"/>
              <w:numPr>
                <w:ilvl w:val="0"/>
                <w:numId w:val="27"/>
              </w:numPr>
              <w:tabs>
                <w:tab w:val="clear" w:pos="437"/>
                <w:tab w:val="left" w:pos="381"/>
              </w:tabs>
              <w:ind w:left="381" w:hanging="284"/>
            </w:pPr>
            <w:r>
              <w:t xml:space="preserve">besluitvormingsmomenten herkenbaar te bevatten; </w:t>
            </w:r>
          </w:p>
          <w:p w14:paraId="605547C6" w14:textId="2351229C" w:rsidR="004A0681" w:rsidRDefault="004A0681" w:rsidP="006A08DD">
            <w:pPr>
              <w:pStyle w:val="Lijstalinea"/>
              <w:numPr>
                <w:ilvl w:val="0"/>
                <w:numId w:val="27"/>
              </w:numPr>
              <w:tabs>
                <w:tab w:val="clear" w:pos="437"/>
                <w:tab w:val="left" w:pos="381"/>
              </w:tabs>
              <w:ind w:left="381" w:hanging="284"/>
            </w:pPr>
            <w:r>
              <w:t xml:space="preserve">oprolbaar te zijn tot het niveau van hanteerbare overall-planning, waarin ten minste de volgende onderdelen zijn opgenomen: </w:t>
            </w:r>
          </w:p>
          <w:p w14:paraId="42AF6227" w14:textId="77777777" w:rsidR="004A0681" w:rsidRDefault="004A0681" w:rsidP="006A08DD">
            <w:pPr>
              <w:pStyle w:val="Lijstalinea"/>
              <w:numPr>
                <w:ilvl w:val="1"/>
                <w:numId w:val="27"/>
              </w:numPr>
              <w:tabs>
                <w:tab w:val="clear" w:pos="437"/>
                <w:tab w:val="left" w:pos="806"/>
              </w:tabs>
              <w:ind w:left="664" w:hanging="283"/>
            </w:pPr>
            <w:r>
              <w:t>de mijlpalen en streefdata;</w:t>
            </w:r>
          </w:p>
          <w:p w14:paraId="5D55493C" w14:textId="77777777" w:rsidR="004A0681" w:rsidRDefault="004A0681" w:rsidP="006A08DD">
            <w:pPr>
              <w:pStyle w:val="Lijstalinea"/>
              <w:numPr>
                <w:ilvl w:val="1"/>
                <w:numId w:val="27"/>
              </w:numPr>
              <w:tabs>
                <w:tab w:val="clear" w:pos="437"/>
                <w:tab w:val="left" w:pos="806"/>
              </w:tabs>
              <w:ind w:left="664" w:hanging="283"/>
            </w:pPr>
            <w:r>
              <w:t>de start- en einddata van de activiteiten;</w:t>
            </w:r>
          </w:p>
          <w:p w14:paraId="2BE75F2F" w14:textId="0353002F" w:rsidR="004A0681" w:rsidRDefault="004A0681" w:rsidP="006A08DD">
            <w:pPr>
              <w:pStyle w:val="Lijstalinea"/>
              <w:numPr>
                <w:ilvl w:val="1"/>
                <w:numId w:val="27"/>
              </w:numPr>
              <w:tabs>
                <w:tab w:val="clear" w:pos="437"/>
                <w:tab w:val="left" w:pos="806"/>
              </w:tabs>
              <w:ind w:left="664" w:hanging="283"/>
            </w:pPr>
            <w:r>
              <w:t>een overzicht van de ter acceptatie en ter toe</w:t>
            </w:r>
            <w:r w:rsidR="00693C7A">
              <w:t>tsing voor te leggen documenten.</w:t>
            </w:r>
            <w:r>
              <w:t xml:space="preserve"> </w:t>
            </w:r>
          </w:p>
          <w:p w14:paraId="663B667D" w14:textId="59889A97" w:rsidR="00757C86" w:rsidRDefault="004A0681" w:rsidP="006A08DD">
            <w:pPr>
              <w:pStyle w:val="Lijstalinea"/>
              <w:numPr>
                <w:ilvl w:val="0"/>
                <w:numId w:val="27"/>
              </w:numPr>
              <w:tabs>
                <w:tab w:val="clear" w:pos="437"/>
                <w:tab w:val="left" w:pos="381"/>
              </w:tabs>
              <w:ind w:left="381" w:hanging="284"/>
            </w:pPr>
            <w:r>
              <w:t>een toelichting te bevatten met onderbouwing van afwijkingen ten opzichte van de vorige versie en toelichting op de status van elke mijlpaal.</w:t>
            </w:r>
          </w:p>
        </w:tc>
        <w:tc>
          <w:tcPr>
            <w:tcW w:w="986" w:type="dxa"/>
          </w:tcPr>
          <w:p w14:paraId="0FD7B024" w14:textId="77777777" w:rsidR="00757C86" w:rsidRDefault="00757C86" w:rsidP="00E97F3A"/>
        </w:tc>
      </w:tr>
      <w:tr w:rsidR="00E97F3A" w14:paraId="3E160B2A" w14:textId="77777777" w:rsidTr="001E1972">
        <w:tc>
          <w:tcPr>
            <w:tcW w:w="494" w:type="dxa"/>
          </w:tcPr>
          <w:p w14:paraId="1DB91F52" w14:textId="12C9A090" w:rsidR="00E97F3A" w:rsidRDefault="006A08DD" w:rsidP="00E97F3A">
            <w:r>
              <w:t>11</w:t>
            </w:r>
          </w:p>
        </w:tc>
        <w:tc>
          <w:tcPr>
            <w:tcW w:w="7865" w:type="dxa"/>
          </w:tcPr>
          <w:p w14:paraId="61F34EB9" w14:textId="77777777" w:rsidR="001A6D3A" w:rsidRDefault="00F11BDE" w:rsidP="00F11BDE">
            <w:r>
              <w:t>Inschrijver is bereid en in staat om direct na definitieve gunning van de overeenkomst aan te vangen met de daadwerkelijke uitvoering van de opdracht.</w:t>
            </w:r>
          </w:p>
        </w:tc>
        <w:tc>
          <w:tcPr>
            <w:tcW w:w="986" w:type="dxa"/>
          </w:tcPr>
          <w:p w14:paraId="4E20096A" w14:textId="77777777" w:rsidR="00E97F3A" w:rsidRDefault="00E97F3A" w:rsidP="00E97F3A"/>
        </w:tc>
      </w:tr>
      <w:tr w:rsidR="00E97F3A" w14:paraId="3EC46CB3" w14:textId="77777777" w:rsidTr="001E1972">
        <w:tc>
          <w:tcPr>
            <w:tcW w:w="494" w:type="dxa"/>
          </w:tcPr>
          <w:p w14:paraId="6EB7140F" w14:textId="2A57EA8A" w:rsidR="00E97F3A" w:rsidRDefault="006A08DD" w:rsidP="00E97F3A">
            <w:r>
              <w:lastRenderedPageBreak/>
              <w:t>12</w:t>
            </w:r>
          </w:p>
        </w:tc>
        <w:tc>
          <w:tcPr>
            <w:tcW w:w="7865" w:type="dxa"/>
          </w:tcPr>
          <w:p w14:paraId="0089806F" w14:textId="7EE55867" w:rsidR="00E97F3A" w:rsidRDefault="00F11BDE" w:rsidP="00E97F3A">
            <w:r>
              <w:t xml:space="preserve">Inschrijver heeft kennisgenomen van de planning </w:t>
            </w:r>
            <w:r w:rsidRPr="006A08DD">
              <w:t>(zie paragraaf 2.1</w:t>
            </w:r>
            <w:r w:rsidR="006A08DD" w:rsidRPr="006A08DD">
              <w:t xml:space="preserve"> in de Aanbestedingsleidraad</w:t>
            </w:r>
            <w:r w:rsidRPr="006A08DD">
              <w:t>). Inschrijver conformeert zich aan de projectplanning en heeft alle noodzakelijke maatregelen getroffen om de gevraagde</w:t>
            </w:r>
            <w:r>
              <w:t xml:space="preserve"> producten binnen de gestelde termijnen aan te leveren.</w:t>
            </w:r>
          </w:p>
        </w:tc>
        <w:tc>
          <w:tcPr>
            <w:tcW w:w="986" w:type="dxa"/>
          </w:tcPr>
          <w:p w14:paraId="3610D4E7" w14:textId="77777777" w:rsidR="00E97F3A" w:rsidRDefault="00E97F3A" w:rsidP="00E97F3A"/>
        </w:tc>
      </w:tr>
      <w:tr w:rsidR="00E97F3A" w14:paraId="3A1B3BF0" w14:textId="77777777" w:rsidTr="001E1972">
        <w:tc>
          <w:tcPr>
            <w:tcW w:w="494" w:type="dxa"/>
          </w:tcPr>
          <w:p w14:paraId="108AD89C" w14:textId="1A8C1370" w:rsidR="00E97F3A" w:rsidRDefault="006A08DD" w:rsidP="00E97F3A">
            <w:r>
              <w:t>13</w:t>
            </w:r>
          </w:p>
        </w:tc>
        <w:tc>
          <w:tcPr>
            <w:tcW w:w="7865" w:type="dxa"/>
          </w:tcPr>
          <w:p w14:paraId="39A49A62" w14:textId="77777777" w:rsidR="00E97F3A" w:rsidRDefault="00F11BDE" w:rsidP="00E97F3A">
            <w:r>
              <w:t>Inschrijver is op de hoogte van de laatste ontwikkelingen in de markt en adviseert Opdrachtgever proactief over toepassingsmogelijkheden hiervan.</w:t>
            </w:r>
          </w:p>
        </w:tc>
        <w:tc>
          <w:tcPr>
            <w:tcW w:w="986" w:type="dxa"/>
          </w:tcPr>
          <w:p w14:paraId="7AC386E7" w14:textId="77777777" w:rsidR="00E97F3A" w:rsidRDefault="00E97F3A" w:rsidP="00E97F3A"/>
        </w:tc>
      </w:tr>
      <w:tr w:rsidR="00E97F3A" w14:paraId="73348594" w14:textId="77777777" w:rsidTr="001E1972">
        <w:tc>
          <w:tcPr>
            <w:tcW w:w="494" w:type="dxa"/>
          </w:tcPr>
          <w:p w14:paraId="41D72EF1" w14:textId="20EF3032" w:rsidR="00E97F3A" w:rsidRDefault="006A08DD" w:rsidP="00E97F3A">
            <w:r>
              <w:t>14</w:t>
            </w:r>
          </w:p>
        </w:tc>
        <w:tc>
          <w:tcPr>
            <w:tcW w:w="7865" w:type="dxa"/>
          </w:tcPr>
          <w:p w14:paraId="7730BBB3" w14:textId="77777777" w:rsidR="00E97F3A" w:rsidRDefault="00F11BDE" w:rsidP="00664BF3">
            <w:r>
              <w:t xml:space="preserve">Inschrijver is zich bewust van het feit dat deze opdracht raakvlakken </w:t>
            </w:r>
            <w:r w:rsidR="00664BF3">
              <w:t>heeft met (</w:t>
            </w:r>
            <w:r>
              <w:t xml:space="preserve">en zelfs deels afhankelijk is </w:t>
            </w:r>
            <w:r w:rsidR="00664BF3">
              <w:t>van)</w:t>
            </w:r>
            <w:r>
              <w:t xml:space="preserve"> onder meer het Parkeerbeleidsplan en het Gebiedsprogramma </w:t>
            </w:r>
            <w:proofErr w:type="spellStart"/>
            <w:r>
              <w:t>Goverwelle</w:t>
            </w:r>
            <w:proofErr w:type="spellEnd"/>
            <w:r>
              <w:t>.</w:t>
            </w:r>
          </w:p>
        </w:tc>
        <w:tc>
          <w:tcPr>
            <w:tcW w:w="986" w:type="dxa"/>
          </w:tcPr>
          <w:p w14:paraId="239DAE4D" w14:textId="77777777" w:rsidR="00E97F3A" w:rsidRDefault="00E97F3A" w:rsidP="00E97F3A"/>
        </w:tc>
      </w:tr>
      <w:tr w:rsidR="00664BF3" w14:paraId="7C856BE1" w14:textId="77777777" w:rsidTr="001E1972">
        <w:tc>
          <w:tcPr>
            <w:tcW w:w="494" w:type="dxa"/>
          </w:tcPr>
          <w:p w14:paraId="40F57527" w14:textId="114A4340" w:rsidR="00664BF3" w:rsidRDefault="006A08DD" w:rsidP="00E97F3A">
            <w:r>
              <w:t>15</w:t>
            </w:r>
          </w:p>
        </w:tc>
        <w:tc>
          <w:tcPr>
            <w:tcW w:w="7865" w:type="dxa"/>
          </w:tcPr>
          <w:p w14:paraId="239C32B6" w14:textId="77777777" w:rsidR="00664BF3" w:rsidRDefault="00664BF3" w:rsidP="00664BF3">
            <w:r w:rsidRPr="00664BF3">
              <w:t>Naast sturing op resultaat en op (doorloop)tijd vindt</w:t>
            </w:r>
            <w:r>
              <w:t xml:space="preserve"> door Opdrachtnemer</w:t>
            </w:r>
            <w:r w:rsidRPr="00664BF3">
              <w:t xml:space="preserve"> ook sturi</w:t>
            </w:r>
            <w:r>
              <w:t>ng op geld plaats. Alsdan en in</w:t>
            </w:r>
            <w:r w:rsidRPr="00664BF3">
              <w:t xml:space="preserve">dien van de zijde van Opdrachtgever andere werkzaamheden dienen te worden uitgevoerd of ingeval van meerwerk (onvoorzien) zal </w:t>
            </w:r>
            <w:r>
              <w:t>Opdrachtnemer</w:t>
            </w:r>
            <w:r w:rsidRPr="00664BF3">
              <w:t xml:space="preserve"> een opgave (offerte) worden gevraagd van de kosten (rekening houdend met de tarieven), de benodigde tijd en de gevolgen voor de overall planning. </w:t>
            </w:r>
            <w:r>
              <w:t>Opdrachtnemer</w:t>
            </w:r>
            <w:r w:rsidRPr="00664BF3">
              <w:t xml:space="preserve"> is verplicht zo'n opgave (offerte</w:t>
            </w:r>
            <w:r>
              <w:t>) binnen 10 werkdagen aan te le</w:t>
            </w:r>
            <w:r w:rsidRPr="00664BF3">
              <w:t>veren.</w:t>
            </w:r>
          </w:p>
        </w:tc>
        <w:tc>
          <w:tcPr>
            <w:tcW w:w="986" w:type="dxa"/>
          </w:tcPr>
          <w:p w14:paraId="3A5225EB" w14:textId="77777777" w:rsidR="00664BF3" w:rsidRDefault="00664BF3" w:rsidP="00E97F3A"/>
        </w:tc>
      </w:tr>
      <w:tr w:rsidR="00664BF3" w14:paraId="3B3CA2D3" w14:textId="77777777" w:rsidTr="001E1972">
        <w:tc>
          <w:tcPr>
            <w:tcW w:w="494" w:type="dxa"/>
          </w:tcPr>
          <w:p w14:paraId="258889D4" w14:textId="3D007683" w:rsidR="00664BF3" w:rsidRDefault="006A08DD" w:rsidP="00E97F3A">
            <w:r>
              <w:t>16</w:t>
            </w:r>
          </w:p>
        </w:tc>
        <w:tc>
          <w:tcPr>
            <w:tcW w:w="7865" w:type="dxa"/>
          </w:tcPr>
          <w:p w14:paraId="021C63DC" w14:textId="77777777" w:rsidR="00664BF3" w:rsidRDefault="00664BF3" w:rsidP="00664BF3">
            <w:pPr>
              <w:pStyle w:val="Default"/>
            </w:pPr>
            <w:r>
              <w:rPr>
                <w:sz w:val="20"/>
                <w:szCs w:val="20"/>
              </w:rPr>
              <w:t>Van Inschrijver wordt een zodanige zelfstandigheid verwacht dat hij/zij slechts ten behoeve van de projectvoortgang alleen voor tijd en kwaliteit een beroep doet op de resources (mensen, kennis en kunde) van Opdrachtgever. Zo'n beroep moet in ieder geval tijdig worden gedaan en een zo nauwkeurig mogelijke omschrijving van de aard, de omvang, de wijze waarop en de tijdsduur waarin van de zijde van Opdrachtgever resources worden gewenst.</w:t>
            </w:r>
          </w:p>
        </w:tc>
        <w:tc>
          <w:tcPr>
            <w:tcW w:w="986" w:type="dxa"/>
          </w:tcPr>
          <w:p w14:paraId="162F9A3C" w14:textId="77777777" w:rsidR="00664BF3" w:rsidRDefault="00664BF3" w:rsidP="00E97F3A"/>
        </w:tc>
      </w:tr>
      <w:tr w:rsidR="00664BF3" w14:paraId="4B05E6E2" w14:textId="77777777" w:rsidTr="001E1972">
        <w:tc>
          <w:tcPr>
            <w:tcW w:w="494" w:type="dxa"/>
          </w:tcPr>
          <w:p w14:paraId="203F5DE2" w14:textId="526E0C9B" w:rsidR="00664BF3" w:rsidRDefault="006A08DD" w:rsidP="00E97F3A">
            <w:r>
              <w:t>17</w:t>
            </w:r>
          </w:p>
        </w:tc>
        <w:tc>
          <w:tcPr>
            <w:tcW w:w="7865" w:type="dxa"/>
          </w:tcPr>
          <w:p w14:paraId="3A0169CA" w14:textId="31CB2204" w:rsidR="00664BF3" w:rsidRDefault="008845DC" w:rsidP="00CD2DBC">
            <w:r>
              <w:t xml:space="preserve">Kostenramingen </w:t>
            </w:r>
            <w:r w:rsidR="00CD2DBC">
              <w:t xml:space="preserve">van de maatregelen </w:t>
            </w:r>
            <w:r>
              <w:t>dienen enkel opgesteld te wor</w:t>
            </w:r>
            <w:r w:rsidR="00CD2DBC">
              <w:t>den voor de investeringskosten</w:t>
            </w:r>
            <w:r>
              <w:t>, met een brandbreedte van -40%/+40%.</w:t>
            </w:r>
          </w:p>
        </w:tc>
        <w:tc>
          <w:tcPr>
            <w:tcW w:w="986" w:type="dxa"/>
          </w:tcPr>
          <w:p w14:paraId="6344372F" w14:textId="77777777" w:rsidR="00664BF3" w:rsidRDefault="00664BF3" w:rsidP="00E97F3A"/>
        </w:tc>
      </w:tr>
      <w:tr w:rsidR="00664BF3" w14:paraId="07E5800F" w14:textId="77777777" w:rsidTr="001E1972">
        <w:tc>
          <w:tcPr>
            <w:tcW w:w="494" w:type="dxa"/>
          </w:tcPr>
          <w:p w14:paraId="3C7739A7" w14:textId="6CD947A5" w:rsidR="00664BF3" w:rsidRDefault="006A08DD" w:rsidP="00E97F3A">
            <w:r>
              <w:t>18</w:t>
            </w:r>
          </w:p>
        </w:tc>
        <w:tc>
          <w:tcPr>
            <w:tcW w:w="7865" w:type="dxa"/>
          </w:tcPr>
          <w:p w14:paraId="44EB956F" w14:textId="77777777" w:rsidR="00664BF3" w:rsidRDefault="00DF5AA5" w:rsidP="00DF5AA5">
            <w:r>
              <w:t xml:space="preserve">Vlak voor het afronden van de opdracht organiseert Opdrachtnemer een evaluatie/ </w:t>
            </w:r>
            <w:proofErr w:type="spellStart"/>
            <w:r>
              <w:t>lessons</w:t>
            </w:r>
            <w:proofErr w:type="spellEnd"/>
            <w:r>
              <w:t xml:space="preserve"> </w:t>
            </w:r>
            <w:proofErr w:type="spellStart"/>
            <w:r>
              <w:t>learned</w:t>
            </w:r>
            <w:proofErr w:type="spellEnd"/>
            <w:r>
              <w:t xml:space="preserve"> bijeenkomst met korte rapportage.</w:t>
            </w:r>
          </w:p>
        </w:tc>
        <w:tc>
          <w:tcPr>
            <w:tcW w:w="986" w:type="dxa"/>
          </w:tcPr>
          <w:p w14:paraId="1CD08E08" w14:textId="77777777" w:rsidR="00664BF3" w:rsidRDefault="00664BF3" w:rsidP="00E97F3A"/>
        </w:tc>
      </w:tr>
      <w:tr w:rsidR="00E97F3A" w14:paraId="19C381CA" w14:textId="77777777" w:rsidTr="001E1972">
        <w:tc>
          <w:tcPr>
            <w:tcW w:w="494" w:type="dxa"/>
          </w:tcPr>
          <w:p w14:paraId="0A6E66F1" w14:textId="3A9B7ABD" w:rsidR="00E97F3A" w:rsidRDefault="006A08DD" w:rsidP="00E97F3A">
            <w:r>
              <w:t>19</w:t>
            </w:r>
          </w:p>
        </w:tc>
        <w:tc>
          <w:tcPr>
            <w:tcW w:w="7865" w:type="dxa"/>
          </w:tcPr>
          <w:p w14:paraId="486FD476" w14:textId="77777777" w:rsidR="00E97F3A" w:rsidRDefault="006D3539" w:rsidP="006D3539">
            <w:r w:rsidRPr="006D3539">
              <w:t xml:space="preserve">Bij het afprijzen kunt u ervan uitgaan dat de </w:t>
            </w:r>
            <w:proofErr w:type="spellStart"/>
            <w:r w:rsidRPr="006D3539">
              <w:t>project</w:t>
            </w:r>
            <w:r>
              <w:t>leiders</w:t>
            </w:r>
            <w:r w:rsidRPr="006D3539">
              <w:t>overleggen</w:t>
            </w:r>
            <w:proofErr w:type="spellEnd"/>
            <w:r w:rsidRPr="006D3539">
              <w:t xml:space="preserve"> </w:t>
            </w:r>
            <w:r>
              <w:t>digitaal plaatsvinden. Overige overleggen op locatie (fysiek) in Gouda.</w:t>
            </w:r>
          </w:p>
        </w:tc>
        <w:tc>
          <w:tcPr>
            <w:tcW w:w="986" w:type="dxa"/>
          </w:tcPr>
          <w:p w14:paraId="05369374" w14:textId="77777777" w:rsidR="00E97F3A" w:rsidRDefault="00E97F3A" w:rsidP="00E97F3A"/>
        </w:tc>
      </w:tr>
      <w:tr w:rsidR="00E97F3A" w14:paraId="4C3069E4" w14:textId="77777777" w:rsidTr="001E1972">
        <w:tc>
          <w:tcPr>
            <w:tcW w:w="494" w:type="dxa"/>
            <w:shd w:val="clear" w:color="auto" w:fill="C00000"/>
          </w:tcPr>
          <w:p w14:paraId="7C56E225" w14:textId="77777777" w:rsidR="00E97F3A" w:rsidRPr="00E97F3A" w:rsidRDefault="00E97F3A" w:rsidP="00E97F3A">
            <w:pPr>
              <w:rPr>
                <w:b/>
              </w:rPr>
            </w:pPr>
          </w:p>
        </w:tc>
        <w:tc>
          <w:tcPr>
            <w:tcW w:w="7865" w:type="dxa"/>
            <w:shd w:val="clear" w:color="auto" w:fill="C00000"/>
          </w:tcPr>
          <w:p w14:paraId="2C2E9563" w14:textId="77777777" w:rsidR="00E97F3A" w:rsidRPr="00E97F3A" w:rsidRDefault="00E97F3A" w:rsidP="00E97F3A">
            <w:pPr>
              <w:rPr>
                <w:b/>
              </w:rPr>
            </w:pPr>
            <w:r w:rsidRPr="00E97F3A">
              <w:rPr>
                <w:b/>
              </w:rPr>
              <w:t>Eisen ten aanzien van het projectteam</w:t>
            </w:r>
          </w:p>
        </w:tc>
        <w:tc>
          <w:tcPr>
            <w:tcW w:w="986" w:type="dxa"/>
            <w:shd w:val="clear" w:color="auto" w:fill="C00000"/>
          </w:tcPr>
          <w:p w14:paraId="1225B8D4" w14:textId="77777777" w:rsidR="00E97F3A" w:rsidRPr="00E97F3A" w:rsidRDefault="00E97F3A" w:rsidP="00E97F3A">
            <w:pPr>
              <w:rPr>
                <w:b/>
              </w:rPr>
            </w:pPr>
          </w:p>
        </w:tc>
      </w:tr>
      <w:tr w:rsidR="00E97F3A" w14:paraId="29E5E9A8" w14:textId="77777777" w:rsidTr="001E1972">
        <w:tc>
          <w:tcPr>
            <w:tcW w:w="494" w:type="dxa"/>
          </w:tcPr>
          <w:p w14:paraId="785B379A" w14:textId="29E72F97" w:rsidR="00E97F3A" w:rsidRDefault="006A08DD" w:rsidP="00E97F3A">
            <w:r>
              <w:t>20</w:t>
            </w:r>
          </w:p>
        </w:tc>
        <w:tc>
          <w:tcPr>
            <w:tcW w:w="7865" w:type="dxa"/>
          </w:tcPr>
          <w:p w14:paraId="5E70FEBD" w14:textId="77777777" w:rsidR="00E97F3A" w:rsidRDefault="001F3766" w:rsidP="00E97F3A">
            <w:r w:rsidRPr="001F3766">
              <w:t>Inschrijver heeft voor de uitvoering van de opdracht een team vastgesteld. Dit vaste team is verantwoordelijk voor de gehele uitvoering van de opdrach</w:t>
            </w:r>
            <w:r>
              <w:t xml:space="preserve">t. Indien </w:t>
            </w:r>
            <w:proofErr w:type="spellStart"/>
            <w:r>
              <w:t>projectgroepleden</w:t>
            </w:r>
            <w:proofErr w:type="spellEnd"/>
            <w:r>
              <w:t xml:space="preserve"> vertrekken dan dient O</w:t>
            </w:r>
            <w:r w:rsidRPr="001F3766">
              <w:t xml:space="preserve">pdrachtgever hierover te worden geïnformeerd. Indien een teamlid tijdelijk </w:t>
            </w:r>
            <w:proofErr w:type="spellStart"/>
            <w:r w:rsidRPr="001F3766">
              <w:t>danwel</w:t>
            </w:r>
            <w:proofErr w:type="spellEnd"/>
            <w:r w:rsidRPr="001F3766">
              <w:t xml:space="preserve"> permanent vervangen dient te worden, geschiedt dit door een teamlid van minstens dezelfde kwaliteit voor wat betreft kennis, ervaring en eigenschappen vervangen te worden en dient deze te voldoen aan de gestelde eisen in onderhav</w:t>
            </w:r>
            <w:r>
              <w:t>ig aanbestedingsdocument.</w:t>
            </w:r>
          </w:p>
        </w:tc>
        <w:tc>
          <w:tcPr>
            <w:tcW w:w="986" w:type="dxa"/>
          </w:tcPr>
          <w:p w14:paraId="2FE972CD" w14:textId="77777777" w:rsidR="00E97F3A" w:rsidRDefault="00E97F3A" w:rsidP="00E97F3A"/>
        </w:tc>
      </w:tr>
      <w:tr w:rsidR="00E97F3A" w14:paraId="1D2A0122" w14:textId="77777777" w:rsidTr="001E1972">
        <w:tc>
          <w:tcPr>
            <w:tcW w:w="494" w:type="dxa"/>
          </w:tcPr>
          <w:p w14:paraId="74419AEF" w14:textId="123AA578" w:rsidR="00E97F3A" w:rsidRDefault="006A08DD" w:rsidP="00E97F3A">
            <w:r>
              <w:t>21</w:t>
            </w:r>
          </w:p>
        </w:tc>
        <w:tc>
          <w:tcPr>
            <w:tcW w:w="7865" w:type="dxa"/>
          </w:tcPr>
          <w:p w14:paraId="13E1B8EA" w14:textId="77777777" w:rsidR="00E97F3A" w:rsidRDefault="001F3766" w:rsidP="001F3766">
            <w:pPr>
              <w:pStyle w:val="Default"/>
            </w:pPr>
            <w:r>
              <w:rPr>
                <w:sz w:val="20"/>
                <w:szCs w:val="20"/>
              </w:rPr>
              <w:t xml:space="preserve">Indien als gevolg van specifieke onderwerpen van de opdracht de samenstelling of andere reden van het team tijdelijk </w:t>
            </w:r>
            <w:proofErr w:type="spellStart"/>
            <w:r>
              <w:rPr>
                <w:sz w:val="20"/>
                <w:szCs w:val="20"/>
              </w:rPr>
              <w:t>danwel</w:t>
            </w:r>
            <w:proofErr w:type="spellEnd"/>
            <w:r>
              <w:rPr>
                <w:sz w:val="20"/>
                <w:szCs w:val="20"/>
              </w:rPr>
              <w:t xml:space="preserve"> permanent dient te wijzigen, wordt Opdrachtgever hier ten spoedigste van op de hoogte gebracht.</w:t>
            </w:r>
          </w:p>
        </w:tc>
        <w:tc>
          <w:tcPr>
            <w:tcW w:w="986" w:type="dxa"/>
          </w:tcPr>
          <w:p w14:paraId="557FA6AC" w14:textId="77777777" w:rsidR="00E97F3A" w:rsidRDefault="00E97F3A" w:rsidP="00E97F3A"/>
        </w:tc>
      </w:tr>
      <w:tr w:rsidR="00E97F3A" w14:paraId="0A066F15" w14:textId="77777777" w:rsidTr="001E1972">
        <w:tc>
          <w:tcPr>
            <w:tcW w:w="494" w:type="dxa"/>
          </w:tcPr>
          <w:p w14:paraId="6F7A375C" w14:textId="71EE2A4C" w:rsidR="00E97F3A" w:rsidRDefault="006A08DD" w:rsidP="00E97F3A">
            <w:r>
              <w:t>22</w:t>
            </w:r>
          </w:p>
        </w:tc>
        <w:tc>
          <w:tcPr>
            <w:tcW w:w="7865" w:type="dxa"/>
          </w:tcPr>
          <w:p w14:paraId="3EAAC599" w14:textId="77777777" w:rsidR="00E97F3A" w:rsidRDefault="001F3766" w:rsidP="00B803FC">
            <w:pPr>
              <w:pStyle w:val="Default"/>
            </w:pPr>
            <w:r>
              <w:rPr>
                <w:sz w:val="20"/>
                <w:szCs w:val="20"/>
              </w:rPr>
              <w:t xml:space="preserve">Inschrijver heeft één teamlid aangewezen als projectleider. Deze projectleider fungeert als contactpersoon voor de projectleider van Opdrachtgever (single point of contact). Indien om welke reden dan ook de projectleider van Inschrijver tijdelijk </w:t>
            </w:r>
            <w:proofErr w:type="spellStart"/>
            <w:r>
              <w:rPr>
                <w:sz w:val="20"/>
                <w:szCs w:val="20"/>
              </w:rPr>
              <w:t>danwel</w:t>
            </w:r>
            <w:proofErr w:type="spellEnd"/>
            <w:r>
              <w:rPr>
                <w:sz w:val="20"/>
                <w:szCs w:val="20"/>
              </w:rPr>
              <w:t xml:space="preserve"> permanent vervangen dient te worden, geschiedt dit door een projectleider van minstens dezelfde kwaliteit voor wat betreft kennis, ervaring en eigenschappen te zijn en dient te voldoen aan de gestelde eisen in onderhavig aanbestedingsdocument. Opdrachtgever wordt bij voorgenomen vervanging van de pro</w:t>
            </w:r>
            <w:r w:rsidR="00B803FC">
              <w:rPr>
                <w:sz w:val="20"/>
                <w:szCs w:val="20"/>
              </w:rPr>
              <w:t>jectleider tijdig geïnformeerd.</w:t>
            </w:r>
          </w:p>
        </w:tc>
        <w:tc>
          <w:tcPr>
            <w:tcW w:w="986" w:type="dxa"/>
          </w:tcPr>
          <w:p w14:paraId="386B5E1E" w14:textId="77777777" w:rsidR="00E97F3A" w:rsidRDefault="00E97F3A" w:rsidP="00E97F3A"/>
        </w:tc>
      </w:tr>
      <w:tr w:rsidR="00E97F3A" w14:paraId="716FFDE0" w14:textId="77777777" w:rsidTr="001E1972">
        <w:tc>
          <w:tcPr>
            <w:tcW w:w="494" w:type="dxa"/>
          </w:tcPr>
          <w:p w14:paraId="33E0255D" w14:textId="14D04D4F" w:rsidR="00E97F3A" w:rsidRDefault="006A08DD" w:rsidP="00E97F3A">
            <w:r>
              <w:t>23</w:t>
            </w:r>
          </w:p>
        </w:tc>
        <w:tc>
          <w:tcPr>
            <w:tcW w:w="7865" w:type="dxa"/>
          </w:tcPr>
          <w:p w14:paraId="3906251F" w14:textId="77777777" w:rsidR="00E97F3A" w:rsidRDefault="001F3766" w:rsidP="00B803FC">
            <w:pPr>
              <w:pStyle w:val="Default"/>
            </w:pPr>
            <w:r>
              <w:rPr>
                <w:sz w:val="20"/>
                <w:szCs w:val="20"/>
              </w:rPr>
              <w:t>Inschrijver draagt er in ieder geval zorg voor dat de rol van projecteider binnen het team in incidentele gevallen wordt waar</w:t>
            </w:r>
            <w:r w:rsidR="00B803FC">
              <w:rPr>
                <w:sz w:val="20"/>
                <w:szCs w:val="20"/>
              </w:rPr>
              <w:t>genomen door een ander teamlid.</w:t>
            </w:r>
          </w:p>
        </w:tc>
        <w:tc>
          <w:tcPr>
            <w:tcW w:w="986" w:type="dxa"/>
          </w:tcPr>
          <w:p w14:paraId="3BCAE2EA" w14:textId="77777777" w:rsidR="00E97F3A" w:rsidRDefault="00E97F3A" w:rsidP="00E97F3A"/>
        </w:tc>
      </w:tr>
      <w:tr w:rsidR="00E97F3A" w14:paraId="34369F4E" w14:textId="77777777" w:rsidTr="001E1972">
        <w:tc>
          <w:tcPr>
            <w:tcW w:w="494" w:type="dxa"/>
          </w:tcPr>
          <w:p w14:paraId="706B7687" w14:textId="49496ECB" w:rsidR="00E97F3A" w:rsidRDefault="006A08DD" w:rsidP="00E97F3A">
            <w:r>
              <w:t>24</w:t>
            </w:r>
          </w:p>
        </w:tc>
        <w:tc>
          <w:tcPr>
            <w:tcW w:w="7865" w:type="dxa"/>
          </w:tcPr>
          <w:p w14:paraId="65AF187E" w14:textId="77777777" w:rsidR="00E97F3A" w:rsidRDefault="001F3766" w:rsidP="00B803FC">
            <w:pPr>
              <w:pStyle w:val="Default"/>
            </w:pPr>
            <w:r>
              <w:rPr>
                <w:sz w:val="20"/>
                <w:szCs w:val="20"/>
              </w:rPr>
              <w:t>Opdrachtgever kan Inschrijver verzoeken om de projectleider te vervangen. Opdrachtgever zal Inschrijver hiervan schriftelijk op de hoogte brengen onder opgave van redenen voor die vervanging. Inschrijver is verplicht hieraan zijn medewer</w:t>
            </w:r>
            <w:r w:rsidR="00B803FC">
              <w:rPr>
                <w:sz w:val="20"/>
                <w:szCs w:val="20"/>
              </w:rPr>
              <w:t>king te verlenen. Vervanging ge</w:t>
            </w:r>
            <w:r>
              <w:rPr>
                <w:sz w:val="20"/>
                <w:szCs w:val="20"/>
              </w:rPr>
              <w:t xml:space="preserve">schied door minstens gelijkwaardig dan wel betere kwaliteit </w:t>
            </w:r>
            <w:r w:rsidR="00B803FC">
              <w:rPr>
                <w:sz w:val="20"/>
                <w:szCs w:val="20"/>
              </w:rPr>
              <w:t>en tegen dezelfde prijs/tarief.</w:t>
            </w:r>
          </w:p>
        </w:tc>
        <w:tc>
          <w:tcPr>
            <w:tcW w:w="986" w:type="dxa"/>
          </w:tcPr>
          <w:p w14:paraId="094B98EE" w14:textId="77777777" w:rsidR="00E97F3A" w:rsidRDefault="00E97F3A" w:rsidP="00E97F3A"/>
        </w:tc>
      </w:tr>
      <w:tr w:rsidR="00E97F3A" w14:paraId="29C170C3" w14:textId="77777777" w:rsidTr="001E1972">
        <w:tc>
          <w:tcPr>
            <w:tcW w:w="494" w:type="dxa"/>
          </w:tcPr>
          <w:p w14:paraId="2E8A39B2" w14:textId="2D008D97" w:rsidR="00E97F3A" w:rsidRDefault="006A08DD" w:rsidP="00E97F3A">
            <w:r>
              <w:t>25</w:t>
            </w:r>
          </w:p>
        </w:tc>
        <w:tc>
          <w:tcPr>
            <w:tcW w:w="7865" w:type="dxa"/>
          </w:tcPr>
          <w:p w14:paraId="07D42AA6" w14:textId="77777777" w:rsidR="00E97F3A" w:rsidRDefault="001F3766" w:rsidP="00B803FC">
            <w:pPr>
              <w:pStyle w:val="Default"/>
            </w:pPr>
            <w:r>
              <w:rPr>
                <w:sz w:val="20"/>
                <w:szCs w:val="20"/>
              </w:rPr>
              <w:t>Inschrijver draagt er zorg voor dat vervanging van leden van het team van Inschrijver door medewerkers met minimaal gelijkwaardige kennis en ervaring, de uitvoering van de o</w:t>
            </w:r>
            <w:r w:rsidR="00B803FC">
              <w:rPr>
                <w:sz w:val="20"/>
                <w:szCs w:val="20"/>
              </w:rPr>
              <w:t>pdracht niet nadelig beïnvloed.</w:t>
            </w:r>
          </w:p>
        </w:tc>
        <w:tc>
          <w:tcPr>
            <w:tcW w:w="986" w:type="dxa"/>
          </w:tcPr>
          <w:p w14:paraId="7174D2A1" w14:textId="77777777" w:rsidR="00E97F3A" w:rsidRDefault="00E97F3A" w:rsidP="00E97F3A"/>
        </w:tc>
      </w:tr>
      <w:tr w:rsidR="00E97F3A" w14:paraId="68B384D4" w14:textId="77777777" w:rsidTr="001E1972">
        <w:tc>
          <w:tcPr>
            <w:tcW w:w="494" w:type="dxa"/>
          </w:tcPr>
          <w:p w14:paraId="7D0FAF7E" w14:textId="7614506B" w:rsidR="00E97F3A" w:rsidRDefault="006A08DD" w:rsidP="00E97F3A">
            <w:r>
              <w:t>26</w:t>
            </w:r>
          </w:p>
        </w:tc>
        <w:tc>
          <w:tcPr>
            <w:tcW w:w="7865" w:type="dxa"/>
          </w:tcPr>
          <w:p w14:paraId="5DCC7FFD" w14:textId="6F4651CD" w:rsidR="00E97F3A" w:rsidRDefault="001F3766" w:rsidP="00B803FC">
            <w:r w:rsidRPr="001F3766">
              <w:t xml:space="preserve">De beoogde projectleider, die ook daadwerkelijk voor deze opdracht zal worden ingezet heeft minimaal </w:t>
            </w:r>
            <w:r w:rsidR="006607DB">
              <w:t>5</w:t>
            </w:r>
            <w:r w:rsidRPr="001F3766">
              <w:t xml:space="preserve"> jaar ervaring met project</w:t>
            </w:r>
            <w:r w:rsidR="00B803FC">
              <w:t>-</w:t>
            </w:r>
            <w:r w:rsidRPr="001F3766">
              <w:t xml:space="preserve"> en procesmanagement ervaring en met </w:t>
            </w:r>
            <w:r w:rsidR="00B803FC">
              <w:t>de uitvoering van vergelijkbare mobiliteit- en participatievraagstukken</w:t>
            </w:r>
            <w:r w:rsidR="00DF5AA5">
              <w:t xml:space="preserve"> (inclusief bestuurlijke besluitvorming).</w:t>
            </w:r>
          </w:p>
        </w:tc>
        <w:tc>
          <w:tcPr>
            <w:tcW w:w="986" w:type="dxa"/>
          </w:tcPr>
          <w:p w14:paraId="0956F9A3" w14:textId="77777777" w:rsidR="00E97F3A" w:rsidRDefault="00E97F3A" w:rsidP="00E97F3A"/>
        </w:tc>
      </w:tr>
      <w:tr w:rsidR="00E97F3A" w14:paraId="20AAEA8A" w14:textId="77777777" w:rsidTr="001E1972">
        <w:tc>
          <w:tcPr>
            <w:tcW w:w="494" w:type="dxa"/>
            <w:shd w:val="clear" w:color="auto" w:fill="C00000"/>
          </w:tcPr>
          <w:p w14:paraId="14205BD2" w14:textId="77777777" w:rsidR="00E97F3A" w:rsidRPr="00E97F3A" w:rsidRDefault="00E97F3A" w:rsidP="00E97F3A">
            <w:pPr>
              <w:rPr>
                <w:b/>
              </w:rPr>
            </w:pPr>
          </w:p>
        </w:tc>
        <w:tc>
          <w:tcPr>
            <w:tcW w:w="7865" w:type="dxa"/>
            <w:shd w:val="clear" w:color="auto" w:fill="C00000"/>
          </w:tcPr>
          <w:p w14:paraId="386F48A1" w14:textId="77777777" w:rsidR="00E97F3A" w:rsidRPr="00E97F3A" w:rsidRDefault="00E97F3A" w:rsidP="00E97F3A">
            <w:pPr>
              <w:rPr>
                <w:b/>
              </w:rPr>
            </w:pPr>
            <w:r w:rsidRPr="00E97F3A">
              <w:rPr>
                <w:b/>
              </w:rPr>
              <w:t>Eisen ten aanzien van rapportage en communicatie</w:t>
            </w:r>
          </w:p>
        </w:tc>
        <w:tc>
          <w:tcPr>
            <w:tcW w:w="986" w:type="dxa"/>
            <w:shd w:val="clear" w:color="auto" w:fill="C00000"/>
          </w:tcPr>
          <w:p w14:paraId="20420AF4" w14:textId="77777777" w:rsidR="00E97F3A" w:rsidRPr="00E97F3A" w:rsidRDefault="00E97F3A" w:rsidP="00E97F3A">
            <w:pPr>
              <w:rPr>
                <w:b/>
              </w:rPr>
            </w:pPr>
          </w:p>
        </w:tc>
      </w:tr>
      <w:tr w:rsidR="001E1972" w14:paraId="3841E1F6" w14:textId="77777777" w:rsidTr="001E1972">
        <w:tc>
          <w:tcPr>
            <w:tcW w:w="494" w:type="dxa"/>
          </w:tcPr>
          <w:p w14:paraId="57F476F0" w14:textId="5CD095E9" w:rsidR="001E1972" w:rsidRDefault="006A08DD" w:rsidP="001E1972">
            <w:r>
              <w:t>27</w:t>
            </w:r>
          </w:p>
        </w:tc>
        <w:tc>
          <w:tcPr>
            <w:tcW w:w="7865" w:type="dxa"/>
          </w:tcPr>
          <w:p w14:paraId="5883C7FA" w14:textId="3A2226A2" w:rsidR="001E1972" w:rsidRPr="006A08DD" w:rsidRDefault="001E1972" w:rsidP="006A08DD">
            <w:r w:rsidRPr="006A08DD">
              <w:t>Een wijkmobiliteitsplan moet minimaal bevatten: (i) titel met jaartal, (ii) samenvatting, (iii) antwoord op alle vragen (zie paragraaf 2.1.1</w:t>
            </w:r>
            <w:r w:rsidR="006A08DD" w:rsidRPr="006A08DD">
              <w:t xml:space="preserve"> in de Aanbestedingsleidraad</w:t>
            </w:r>
            <w:r w:rsidRPr="006A08DD">
              <w:t>), (iv)</w:t>
            </w:r>
            <w:r w:rsidR="006A08DD">
              <w:t> </w:t>
            </w:r>
            <w:r w:rsidRPr="006A08DD">
              <w:t>links naar websites van al lopende/komende projecten die relevant zijn voor de wijk, (v) uitgevoerde processtappen, (vi) lijst met gebruikte afkortingen.</w:t>
            </w:r>
          </w:p>
        </w:tc>
        <w:tc>
          <w:tcPr>
            <w:tcW w:w="986" w:type="dxa"/>
          </w:tcPr>
          <w:p w14:paraId="529BA626" w14:textId="77777777" w:rsidR="001E1972" w:rsidRDefault="001E1972" w:rsidP="001E1972"/>
        </w:tc>
      </w:tr>
      <w:tr w:rsidR="001E1972" w14:paraId="6B85C35C" w14:textId="77777777" w:rsidTr="001E1972">
        <w:tc>
          <w:tcPr>
            <w:tcW w:w="494" w:type="dxa"/>
          </w:tcPr>
          <w:p w14:paraId="52867242" w14:textId="098B16CD" w:rsidR="001E1972" w:rsidRDefault="006A08DD" w:rsidP="001E1972">
            <w:r>
              <w:t>28</w:t>
            </w:r>
          </w:p>
        </w:tc>
        <w:tc>
          <w:tcPr>
            <w:tcW w:w="7865" w:type="dxa"/>
          </w:tcPr>
          <w:p w14:paraId="0ADA2A4B" w14:textId="77777777" w:rsidR="001E1972" w:rsidRDefault="001E1972" w:rsidP="00177B05">
            <w:r>
              <w:t>De voertaal is Nederlands, en he</w:t>
            </w:r>
            <w:r w:rsidR="00177B05">
              <w:t>t taalgebruik is van niveau B1.</w:t>
            </w:r>
          </w:p>
        </w:tc>
        <w:tc>
          <w:tcPr>
            <w:tcW w:w="986" w:type="dxa"/>
          </w:tcPr>
          <w:p w14:paraId="6E952A54" w14:textId="77777777" w:rsidR="001E1972" w:rsidRDefault="001E1972" w:rsidP="001E1972"/>
        </w:tc>
      </w:tr>
      <w:tr w:rsidR="001E1972" w14:paraId="099B8B0D" w14:textId="77777777" w:rsidTr="001E1972">
        <w:tc>
          <w:tcPr>
            <w:tcW w:w="494" w:type="dxa"/>
          </w:tcPr>
          <w:p w14:paraId="05A4A187" w14:textId="2C75D342" w:rsidR="001E1972" w:rsidRDefault="006A08DD" w:rsidP="001E1972">
            <w:r>
              <w:t>29</w:t>
            </w:r>
          </w:p>
        </w:tc>
        <w:tc>
          <w:tcPr>
            <w:tcW w:w="7865" w:type="dxa"/>
          </w:tcPr>
          <w:p w14:paraId="17D56A53" w14:textId="77777777" w:rsidR="001E1972" w:rsidRDefault="00177B05" w:rsidP="001E1972">
            <w:r>
              <w:t>Er dient rekening gehouden te worden met kleurenblindheid.</w:t>
            </w:r>
          </w:p>
        </w:tc>
        <w:tc>
          <w:tcPr>
            <w:tcW w:w="986" w:type="dxa"/>
          </w:tcPr>
          <w:p w14:paraId="715CA10E" w14:textId="77777777" w:rsidR="001E1972" w:rsidRDefault="001E1972" w:rsidP="001E1972"/>
        </w:tc>
      </w:tr>
      <w:tr w:rsidR="00177B05" w14:paraId="111FE5F8" w14:textId="77777777" w:rsidTr="001E1972">
        <w:tc>
          <w:tcPr>
            <w:tcW w:w="494" w:type="dxa"/>
          </w:tcPr>
          <w:p w14:paraId="2F323A08" w14:textId="789CFEA8" w:rsidR="00177B05" w:rsidRDefault="006A08DD" w:rsidP="001E1972">
            <w:r>
              <w:t>30</w:t>
            </w:r>
          </w:p>
        </w:tc>
        <w:tc>
          <w:tcPr>
            <w:tcW w:w="7865" w:type="dxa"/>
          </w:tcPr>
          <w:p w14:paraId="34E9033F" w14:textId="77777777" w:rsidR="00177B05" w:rsidRDefault="00177B05" w:rsidP="00177B05">
            <w:r>
              <w:t>Er dient tekening gehouden te worden met blinden, dus toelichting op inhoud plaatjes geven.</w:t>
            </w:r>
          </w:p>
        </w:tc>
        <w:tc>
          <w:tcPr>
            <w:tcW w:w="986" w:type="dxa"/>
          </w:tcPr>
          <w:p w14:paraId="6A2E6685" w14:textId="77777777" w:rsidR="00177B05" w:rsidRDefault="00177B05" w:rsidP="001E1972"/>
        </w:tc>
      </w:tr>
      <w:tr w:rsidR="00177B05" w14:paraId="7A0DC035" w14:textId="77777777" w:rsidTr="001E1972">
        <w:tc>
          <w:tcPr>
            <w:tcW w:w="494" w:type="dxa"/>
          </w:tcPr>
          <w:p w14:paraId="0FC612EB" w14:textId="37438415" w:rsidR="00177B05" w:rsidRDefault="006A08DD" w:rsidP="001E1972">
            <w:r>
              <w:t>31</w:t>
            </w:r>
          </w:p>
        </w:tc>
        <w:tc>
          <w:tcPr>
            <w:tcW w:w="7865" w:type="dxa"/>
          </w:tcPr>
          <w:p w14:paraId="3CD08136" w14:textId="222FF252" w:rsidR="00177B05" w:rsidRDefault="00177B05" w:rsidP="001E1972">
            <w:r>
              <w:t>Presentaties moeten integraal terug te kijken zijn</w:t>
            </w:r>
            <w:r w:rsidR="00054FB0">
              <w:t xml:space="preserve"> (lees: p</w:t>
            </w:r>
            <w:r w:rsidR="00054FB0" w:rsidRPr="00054FB0">
              <w:t>resentatie, beeld en geluid als één product. Niet als losse producten</w:t>
            </w:r>
            <w:r w:rsidR="00054FB0">
              <w:t>)</w:t>
            </w:r>
            <w:r>
              <w:t>.</w:t>
            </w:r>
          </w:p>
        </w:tc>
        <w:tc>
          <w:tcPr>
            <w:tcW w:w="986" w:type="dxa"/>
          </w:tcPr>
          <w:p w14:paraId="25F9C52B" w14:textId="77777777" w:rsidR="00177B05" w:rsidRDefault="00177B05" w:rsidP="001E1972"/>
        </w:tc>
      </w:tr>
      <w:tr w:rsidR="00177B05" w14:paraId="5E84E4AF" w14:textId="77777777" w:rsidTr="001E1972">
        <w:tc>
          <w:tcPr>
            <w:tcW w:w="494" w:type="dxa"/>
          </w:tcPr>
          <w:p w14:paraId="7C93BD4B" w14:textId="3B69881A" w:rsidR="00177B05" w:rsidRDefault="006A08DD" w:rsidP="001E1972">
            <w:r>
              <w:t>32</w:t>
            </w:r>
          </w:p>
        </w:tc>
        <w:tc>
          <w:tcPr>
            <w:tcW w:w="7865" w:type="dxa"/>
          </w:tcPr>
          <w:p w14:paraId="4AD1D2D1" w14:textId="77777777" w:rsidR="00177B05" w:rsidRDefault="00177B05" w:rsidP="001E1972">
            <w:r>
              <w:t>Opgenomen presentaties moeten ondertiteld zijn.</w:t>
            </w:r>
          </w:p>
        </w:tc>
        <w:tc>
          <w:tcPr>
            <w:tcW w:w="986" w:type="dxa"/>
          </w:tcPr>
          <w:p w14:paraId="6E917D68" w14:textId="77777777" w:rsidR="00177B05" w:rsidRDefault="00177B05" w:rsidP="001E1972"/>
        </w:tc>
      </w:tr>
      <w:tr w:rsidR="001E1972" w14:paraId="347893EA" w14:textId="77777777" w:rsidTr="001E1972">
        <w:tc>
          <w:tcPr>
            <w:tcW w:w="494" w:type="dxa"/>
          </w:tcPr>
          <w:p w14:paraId="2B45E89D" w14:textId="12A475D9" w:rsidR="001E1972" w:rsidRDefault="006A08DD" w:rsidP="001E1972">
            <w:r>
              <w:t>33</w:t>
            </w:r>
          </w:p>
        </w:tc>
        <w:tc>
          <w:tcPr>
            <w:tcW w:w="7865" w:type="dxa"/>
          </w:tcPr>
          <w:p w14:paraId="33F99D1D" w14:textId="77777777" w:rsidR="001E1972" w:rsidRDefault="001E1972" w:rsidP="001E1972">
            <w:r>
              <w:t>Eventueel opgeleverde websites moeten voor te lezen zijn</w:t>
            </w:r>
            <w:r w:rsidR="00177B05">
              <w:t>.</w:t>
            </w:r>
          </w:p>
        </w:tc>
        <w:tc>
          <w:tcPr>
            <w:tcW w:w="986" w:type="dxa"/>
          </w:tcPr>
          <w:p w14:paraId="0A0D1F5B" w14:textId="77777777" w:rsidR="001E1972" w:rsidRDefault="001E1972" w:rsidP="001E1972"/>
        </w:tc>
      </w:tr>
      <w:tr w:rsidR="001E1972" w14:paraId="5910ADF2" w14:textId="77777777" w:rsidTr="001E1972">
        <w:tc>
          <w:tcPr>
            <w:tcW w:w="494" w:type="dxa"/>
          </w:tcPr>
          <w:p w14:paraId="10CF5825" w14:textId="137C7327" w:rsidR="001E1972" w:rsidRDefault="006A08DD" w:rsidP="001E1972">
            <w:r>
              <w:t>34</w:t>
            </w:r>
          </w:p>
        </w:tc>
        <w:tc>
          <w:tcPr>
            <w:tcW w:w="7865" w:type="dxa"/>
          </w:tcPr>
          <w:p w14:paraId="7D7538A3" w14:textId="77777777" w:rsidR="001E1972" w:rsidRDefault="001E1972" w:rsidP="001E1972">
            <w:r w:rsidRPr="001E1972">
              <w:t>Het onderwerp van alle correspondentie moet beginnen met “Gouda Wijkmobiliteitsplan …” Op de plek van de puntjes moet de afkorti</w:t>
            </w:r>
            <w:r w:rsidR="00177B05">
              <w:t>ng van de wijk komen te staan.</w:t>
            </w:r>
          </w:p>
        </w:tc>
        <w:tc>
          <w:tcPr>
            <w:tcW w:w="986" w:type="dxa"/>
          </w:tcPr>
          <w:p w14:paraId="150AC412" w14:textId="77777777" w:rsidR="001E1972" w:rsidRDefault="001E1972" w:rsidP="001E1972"/>
        </w:tc>
      </w:tr>
      <w:tr w:rsidR="00177B05" w14:paraId="0A7C4FFE" w14:textId="77777777" w:rsidTr="001E1972">
        <w:tc>
          <w:tcPr>
            <w:tcW w:w="494" w:type="dxa"/>
          </w:tcPr>
          <w:p w14:paraId="6FEDFAB9" w14:textId="43D40149" w:rsidR="00177B05" w:rsidRDefault="006A08DD" w:rsidP="001E1972">
            <w:r>
              <w:t>35</w:t>
            </w:r>
          </w:p>
        </w:tc>
        <w:tc>
          <w:tcPr>
            <w:tcW w:w="7865" w:type="dxa"/>
          </w:tcPr>
          <w:p w14:paraId="17B874EF" w14:textId="77777777" w:rsidR="00177B05" w:rsidRPr="001E1972" w:rsidRDefault="00177B05" w:rsidP="00177B05">
            <w:r>
              <w:t xml:space="preserve">Voorgeschreven </w:t>
            </w:r>
            <w:proofErr w:type="spellStart"/>
            <w:r>
              <w:t>layout</w:t>
            </w:r>
            <w:proofErr w:type="spellEnd"/>
            <w:r>
              <w:t xml:space="preserve"> gebruiken (sjabloon en huisstijl worden aangeleverd bij verstrekken opdracht).</w:t>
            </w:r>
            <w:r>
              <w:tab/>
            </w:r>
          </w:p>
        </w:tc>
        <w:tc>
          <w:tcPr>
            <w:tcW w:w="986" w:type="dxa"/>
          </w:tcPr>
          <w:p w14:paraId="1A6AB3B1" w14:textId="77777777" w:rsidR="00177B05" w:rsidRDefault="00177B05" w:rsidP="001E1972"/>
        </w:tc>
      </w:tr>
      <w:tr w:rsidR="00177B05" w14:paraId="13C00A26" w14:textId="77777777" w:rsidTr="001E1972">
        <w:tc>
          <w:tcPr>
            <w:tcW w:w="494" w:type="dxa"/>
          </w:tcPr>
          <w:p w14:paraId="5E1569B6" w14:textId="1F688332" w:rsidR="00177B05" w:rsidRDefault="006A08DD" w:rsidP="001E1972">
            <w:r>
              <w:t>36</w:t>
            </w:r>
          </w:p>
        </w:tc>
        <w:tc>
          <w:tcPr>
            <w:tcW w:w="7865" w:type="dxa"/>
          </w:tcPr>
          <w:p w14:paraId="76854BEC" w14:textId="77777777" w:rsidR="00177B05" w:rsidRPr="001E1972" w:rsidRDefault="00177B05" w:rsidP="001E1972">
            <w:r>
              <w:t>Slogan: “Gouda goed op weg!” met logo moet overal op staan.</w:t>
            </w:r>
          </w:p>
        </w:tc>
        <w:tc>
          <w:tcPr>
            <w:tcW w:w="986" w:type="dxa"/>
          </w:tcPr>
          <w:p w14:paraId="72BE90A5" w14:textId="77777777" w:rsidR="00177B05" w:rsidRDefault="00177B05" w:rsidP="001E1972"/>
        </w:tc>
      </w:tr>
      <w:tr w:rsidR="00B803FC" w14:paraId="569DCA1B" w14:textId="77777777" w:rsidTr="001E1972">
        <w:tc>
          <w:tcPr>
            <w:tcW w:w="494" w:type="dxa"/>
          </w:tcPr>
          <w:p w14:paraId="4951FF30" w14:textId="3E050094" w:rsidR="00B803FC" w:rsidRDefault="006A08DD" w:rsidP="001E1972">
            <w:r>
              <w:t>37</w:t>
            </w:r>
          </w:p>
        </w:tc>
        <w:tc>
          <w:tcPr>
            <w:tcW w:w="7865" w:type="dxa"/>
          </w:tcPr>
          <w:p w14:paraId="69B7B4CB" w14:textId="77777777" w:rsidR="00B803FC" w:rsidRDefault="00B803FC" w:rsidP="00B803FC">
            <w:pPr>
              <w:pStyle w:val="Default"/>
            </w:pPr>
            <w:r>
              <w:rPr>
                <w:sz w:val="20"/>
                <w:szCs w:val="20"/>
              </w:rPr>
              <w:t xml:space="preserve">Inschrijver rapporteert tijdig en volledig over de voortgang. In geval van vertraging wordt de opgave van de reden van vertraging, de gevolgen daarvan voor de doorlooptijd (en kosten) en de getroffen maatregelen met een aangepaste planning gerapporteerd. </w:t>
            </w:r>
          </w:p>
        </w:tc>
        <w:tc>
          <w:tcPr>
            <w:tcW w:w="986" w:type="dxa"/>
          </w:tcPr>
          <w:p w14:paraId="479FC037" w14:textId="77777777" w:rsidR="00B803FC" w:rsidRDefault="00B803FC" w:rsidP="001E1972"/>
        </w:tc>
      </w:tr>
      <w:tr w:rsidR="00B803FC" w14:paraId="2F52CA5C" w14:textId="77777777" w:rsidTr="001E1972">
        <w:tc>
          <w:tcPr>
            <w:tcW w:w="494" w:type="dxa"/>
          </w:tcPr>
          <w:p w14:paraId="7E5F5CA0" w14:textId="38D8360C" w:rsidR="00B803FC" w:rsidRDefault="006A08DD" w:rsidP="001E1972">
            <w:r>
              <w:t>38</w:t>
            </w:r>
          </w:p>
        </w:tc>
        <w:tc>
          <w:tcPr>
            <w:tcW w:w="7865" w:type="dxa"/>
          </w:tcPr>
          <w:p w14:paraId="2B7158C4" w14:textId="77777777" w:rsidR="00B803FC" w:rsidRDefault="00B803FC" w:rsidP="00DF5AA5">
            <w:pPr>
              <w:pStyle w:val="Default"/>
            </w:pPr>
            <w:r>
              <w:rPr>
                <w:sz w:val="20"/>
                <w:szCs w:val="20"/>
              </w:rPr>
              <w:t xml:space="preserve">De schriftelijke en mondelinge communicatie tussen </w:t>
            </w:r>
            <w:r w:rsidR="00DF5AA5">
              <w:rPr>
                <w:sz w:val="20"/>
                <w:szCs w:val="20"/>
              </w:rPr>
              <w:t>Opdrachtnemer</w:t>
            </w:r>
            <w:r>
              <w:rPr>
                <w:sz w:val="20"/>
                <w:szCs w:val="20"/>
              </w:rPr>
              <w:t xml:space="preserve"> en de projectpartners evenals Opdrachtgever, is zowel online als offline, netjes, accuraat, vriendelijk en zakelijk.</w:t>
            </w:r>
          </w:p>
        </w:tc>
        <w:tc>
          <w:tcPr>
            <w:tcW w:w="986" w:type="dxa"/>
          </w:tcPr>
          <w:p w14:paraId="36672DBF" w14:textId="77777777" w:rsidR="00B803FC" w:rsidRDefault="00B803FC" w:rsidP="001E1972"/>
        </w:tc>
      </w:tr>
      <w:tr w:rsidR="00B803FC" w14:paraId="31CEF04E" w14:textId="77777777" w:rsidTr="001E1972">
        <w:tc>
          <w:tcPr>
            <w:tcW w:w="494" w:type="dxa"/>
          </w:tcPr>
          <w:p w14:paraId="1629FA53" w14:textId="57957DD8" w:rsidR="00B803FC" w:rsidRDefault="006A08DD" w:rsidP="001E1972">
            <w:r>
              <w:t>39</w:t>
            </w:r>
          </w:p>
        </w:tc>
        <w:tc>
          <w:tcPr>
            <w:tcW w:w="7865" w:type="dxa"/>
          </w:tcPr>
          <w:p w14:paraId="6374FFE4" w14:textId="77777777" w:rsidR="00B803FC" w:rsidRDefault="00B803FC" w:rsidP="00DF5AA5">
            <w:pPr>
              <w:pStyle w:val="Default"/>
            </w:pPr>
            <w:r>
              <w:rPr>
                <w:sz w:val="20"/>
                <w:szCs w:val="20"/>
              </w:rPr>
              <w:t xml:space="preserve">In geval van een klacht wordt door </w:t>
            </w:r>
            <w:r w:rsidR="00DF5AA5">
              <w:rPr>
                <w:sz w:val="20"/>
                <w:szCs w:val="20"/>
              </w:rPr>
              <w:t>Opdrachtnemer</w:t>
            </w:r>
            <w:r>
              <w:rPr>
                <w:sz w:val="20"/>
                <w:szCs w:val="20"/>
              </w:rPr>
              <w:t xml:space="preserve"> binnen 1 werkdag een eerste reactie gegeven waarbij zo mogelijk een oplossingsrichting wordt gegeven.</w:t>
            </w:r>
          </w:p>
        </w:tc>
        <w:tc>
          <w:tcPr>
            <w:tcW w:w="986" w:type="dxa"/>
          </w:tcPr>
          <w:p w14:paraId="1A89C172" w14:textId="77777777" w:rsidR="00B803FC" w:rsidRDefault="00B803FC" w:rsidP="001E1972"/>
        </w:tc>
      </w:tr>
      <w:tr w:rsidR="00B803FC" w14:paraId="3091AA21" w14:textId="77777777" w:rsidTr="001E1972">
        <w:tc>
          <w:tcPr>
            <w:tcW w:w="494" w:type="dxa"/>
          </w:tcPr>
          <w:p w14:paraId="6AE5BB85" w14:textId="54059CDC" w:rsidR="00B803FC" w:rsidRDefault="006A08DD" w:rsidP="001E1972">
            <w:r>
              <w:t>40</w:t>
            </w:r>
          </w:p>
        </w:tc>
        <w:tc>
          <w:tcPr>
            <w:tcW w:w="7865" w:type="dxa"/>
          </w:tcPr>
          <w:p w14:paraId="0A57DFB2" w14:textId="77777777" w:rsidR="00B803FC" w:rsidRPr="00B803FC" w:rsidRDefault="00B803FC" w:rsidP="00B803FC">
            <w:pPr>
              <w:pStyle w:val="Default"/>
            </w:pPr>
            <w:r>
              <w:rPr>
                <w:sz w:val="20"/>
                <w:szCs w:val="20"/>
              </w:rPr>
              <w:t>Het uitzetten van onder meer (nadere) opdrachten, het afstemmen over projecten, het stellen van vragen en doorgeven van eventuele klachten kan door Opdrachtgever zowel telefonisch als schriftelijk (per email) worden gedaan.</w:t>
            </w:r>
          </w:p>
        </w:tc>
        <w:tc>
          <w:tcPr>
            <w:tcW w:w="986" w:type="dxa"/>
          </w:tcPr>
          <w:p w14:paraId="682D653C" w14:textId="77777777" w:rsidR="00B803FC" w:rsidRDefault="00B803FC" w:rsidP="001E1972"/>
        </w:tc>
      </w:tr>
      <w:tr w:rsidR="00893AB5" w14:paraId="15D67EB7" w14:textId="77777777" w:rsidTr="001E1972">
        <w:tc>
          <w:tcPr>
            <w:tcW w:w="494" w:type="dxa"/>
          </w:tcPr>
          <w:p w14:paraId="5F388D14" w14:textId="35384156" w:rsidR="00893AB5" w:rsidRDefault="006A08DD" w:rsidP="001E1972">
            <w:r>
              <w:t>41</w:t>
            </w:r>
          </w:p>
        </w:tc>
        <w:tc>
          <w:tcPr>
            <w:tcW w:w="7865" w:type="dxa"/>
          </w:tcPr>
          <w:p w14:paraId="178910FC" w14:textId="6BB1773F" w:rsidR="00893AB5" w:rsidRDefault="00893AB5" w:rsidP="0069789E">
            <w:pPr>
              <w:pStyle w:val="Default"/>
              <w:rPr>
                <w:sz w:val="20"/>
                <w:szCs w:val="20"/>
              </w:rPr>
            </w:pPr>
            <w:r>
              <w:rPr>
                <w:sz w:val="20"/>
                <w:szCs w:val="20"/>
              </w:rPr>
              <w:t>De resultaten van het WMP d</w:t>
            </w:r>
            <w:r w:rsidR="00534648">
              <w:rPr>
                <w:sz w:val="20"/>
                <w:szCs w:val="20"/>
              </w:rPr>
              <w:t>ie gepresenteerd worden aan de inwoners van Go</w:t>
            </w:r>
            <w:r w:rsidR="00076E5F">
              <w:rPr>
                <w:sz w:val="20"/>
                <w:szCs w:val="20"/>
              </w:rPr>
              <w:t xml:space="preserve">uda (zie </w:t>
            </w:r>
            <w:proofErr w:type="spellStart"/>
            <w:r w:rsidR="00076E5F">
              <w:rPr>
                <w:sz w:val="20"/>
                <w:szCs w:val="20"/>
              </w:rPr>
              <w:t>subgunningscriterium</w:t>
            </w:r>
            <w:proofErr w:type="spellEnd"/>
            <w:r w:rsidR="00076E5F">
              <w:rPr>
                <w:sz w:val="20"/>
                <w:szCs w:val="20"/>
              </w:rPr>
              <w:t xml:space="preserve"> K2</w:t>
            </w:r>
            <w:r w:rsidR="00534648">
              <w:rPr>
                <w:sz w:val="20"/>
                <w:szCs w:val="20"/>
              </w:rPr>
              <w:t xml:space="preserve">) </w:t>
            </w:r>
            <w:r w:rsidR="00534648" w:rsidRPr="00534648">
              <w:rPr>
                <w:sz w:val="20"/>
                <w:szCs w:val="20"/>
              </w:rPr>
              <w:t>die</w:t>
            </w:r>
            <w:r w:rsidR="00534648">
              <w:rPr>
                <w:sz w:val="20"/>
                <w:szCs w:val="20"/>
              </w:rPr>
              <w:t>nen</w:t>
            </w:r>
            <w:r w:rsidR="00534648" w:rsidRPr="00534648">
              <w:rPr>
                <w:sz w:val="20"/>
                <w:szCs w:val="20"/>
              </w:rPr>
              <w:t xml:space="preserve"> beschikbaar en toegankelijk </w:t>
            </w:r>
            <w:r w:rsidR="00534648">
              <w:rPr>
                <w:sz w:val="20"/>
                <w:szCs w:val="20"/>
              </w:rPr>
              <w:t>te zijn gedurende</w:t>
            </w:r>
            <w:r w:rsidR="00534648" w:rsidRPr="00534648">
              <w:rPr>
                <w:sz w:val="20"/>
                <w:szCs w:val="20"/>
              </w:rPr>
              <w:t xml:space="preserve"> de looptijd van het VCP </w:t>
            </w:r>
            <w:r w:rsidR="0069789E">
              <w:rPr>
                <w:sz w:val="20"/>
                <w:szCs w:val="20"/>
              </w:rPr>
              <w:t>(t/m 2042).</w:t>
            </w:r>
          </w:p>
        </w:tc>
        <w:tc>
          <w:tcPr>
            <w:tcW w:w="986" w:type="dxa"/>
          </w:tcPr>
          <w:p w14:paraId="005D496D" w14:textId="77777777" w:rsidR="00893AB5" w:rsidRDefault="00893AB5" w:rsidP="001E1972"/>
        </w:tc>
      </w:tr>
      <w:tr w:rsidR="001E1972" w14:paraId="25FA0312" w14:textId="77777777" w:rsidTr="001E1972">
        <w:tc>
          <w:tcPr>
            <w:tcW w:w="494" w:type="dxa"/>
            <w:shd w:val="clear" w:color="auto" w:fill="C00000"/>
          </w:tcPr>
          <w:p w14:paraId="60C7FB16" w14:textId="77777777" w:rsidR="001E1972" w:rsidRPr="00E97F3A" w:rsidRDefault="001E1972" w:rsidP="001E1972">
            <w:pPr>
              <w:rPr>
                <w:b/>
              </w:rPr>
            </w:pPr>
          </w:p>
        </w:tc>
        <w:tc>
          <w:tcPr>
            <w:tcW w:w="7865" w:type="dxa"/>
            <w:shd w:val="clear" w:color="auto" w:fill="C00000"/>
          </w:tcPr>
          <w:p w14:paraId="72F86392" w14:textId="77777777" w:rsidR="001E1972" w:rsidRPr="00E97F3A" w:rsidRDefault="001E1972" w:rsidP="001E1972">
            <w:pPr>
              <w:rPr>
                <w:b/>
              </w:rPr>
            </w:pPr>
            <w:r w:rsidRPr="00E97F3A">
              <w:rPr>
                <w:b/>
              </w:rPr>
              <w:t>Commerciële en juridische eisen</w:t>
            </w:r>
          </w:p>
        </w:tc>
        <w:tc>
          <w:tcPr>
            <w:tcW w:w="986" w:type="dxa"/>
            <w:shd w:val="clear" w:color="auto" w:fill="C00000"/>
          </w:tcPr>
          <w:p w14:paraId="3E10CFA0" w14:textId="77777777" w:rsidR="001E1972" w:rsidRPr="00E97F3A" w:rsidRDefault="001E1972" w:rsidP="001E1972">
            <w:pPr>
              <w:rPr>
                <w:b/>
              </w:rPr>
            </w:pPr>
          </w:p>
        </w:tc>
      </w:tr>
      <w:tr w:rsidR="001E1972" w14:paraId="63F5B72A" w14:textId="77777777" w:rsidTr="001E1972">
        <w:tc>
          <w:tcPr>
            <w:tcW w:w="494" w:type="dxa"/>
          </w:tcPr>
          <w:p w14:paraId="03548A22" w14:textId="2A26433E" w:rsidR="001E1972" w:rsidRDefault="0054463E" w:rsidP="001E1972">
            <w:r>
              <w:t>42</w:t>
            </w:r>
          </w:p>
        </w:tc>
        <w:tc>
          <w:tcPr>
            <w:tcW w:w="7865" w:type="dxa"/>
          </w:tcPr>
          <w:p w14:paraId="5D43DD7E" w14:textId="77777777" w:rsidR="001E1972" w:rsidRDefault="00B803FC" w:rsidP="00B803FC">
            <w:pPr>
              <w:pStyle w:val="Default"/>
            </w:pPr>
            <w:r>
              <w:rPr>
                <w:sz w:val="20"/>
                <w:szCs w:val="20"/>
              </w:rPr>
              <w:t xml:space="preserve">Inschrijver gaat akkoord met een betalingstermijn van 30 dagen na ontvangst van een geldige/juiste factuur. </w:t>
            </w:r>
          </w:p>
        </w:tc>
        <w:tc>
          <w:tcPr>
            <w:tcW w:w="986" w:type="dxa"/>
          </w:tcPr>
          <w:p w14:paraId="0F950BE3" w14:textId="77777777" w:rsidR="001E1972" w:rsidRDefault="001E1972" w:rsidP="001E1972"/>
        </w:tc>
      </w:tr>
      <w:tr w:rsidR="001E1972" w14:paraId="27BF26D1" w14:textId="77777777" w:rsidTr="001E1972">
        <w:tc>
          <w:tcPr>
            <w:tcW w:w="494" w:type="dxa"/>
          </w:tcPr>
          <w:p w14:paraId="3C3016D6" w14:textId="42518CA4" w:rsidR="001E1972" w:rsidRDefault="0054463E" w:rsidP="001E1972">
            <w:r>
              <w:t>43</w:t>
            </w:r>
          </w:p>
        </w:tc>
        <w:tc>
          <w:tcPr>
            <w:tcW w:w="7865" w:type="dxa"/>
          </w:tcPr>
          <w:p w14:paraId="1BE8F63F" w14:textId="77777777" w:rsidR="00B803FC" w:rsidRDefault="00B803FC" w:rsidP="00B803FC">
            <w:pPr>
              <w:pStyle w:val="Default"/>
              <w:rPr>
                <w:sz w:val="20"/>
                <w:szCs w:val="20"/>
              </w:rPr>
            </w:pPr>
            <w:r>
              <w:rPr>
                <w:sz w:val="20"/>
                <w:szCs w:val="20"/>
              </w:rPr>
              <w:t>Inschrijver vermeldt op de factuur de volgende kenmerken:</w:t>
            </w:r>
          </w:p>
          <w:p w14:paraId="533B94F2" w14:textId="77777777" w:rsidR="00B803FC" w:rsidRDefault="002A4BAC" w:rsidP="002A4BAC">
            <w:pPr>
              <w:pStyle w:val="Default"/>
              <w:numPr>
                <w:ilvl w:val="0"/>
                <w:numId w:val="26"/>
              </w:numPr>
              <w:rPr>
                <w:sz w:val="20"/>
                <w:szCs w:val="20"/>
              </w:rPr>
            </w:pPr>
            <w:r>
              <w:rPr>
                <w:sz w:val="20"/>
                <w:szCs w:val="20"/>
              </w:rPr>
              <w:t>Projectnummer;</w:t>
            </w:r>
          </w:p>
          <w:p w14:paraId="2FCDDB63" w14:textId="23512011" w:rsidR="00B803FC" w:rsidRDefault="002A4BAC" w:rsidP="002A4BAC">
            <w:pPr>
              <w:pStyle w:val="Default"/>
              <w:numPr>
                <w:ilvl w:val="0"/>
                <w:numId w:val="26"/>
              </w:numPr>
              <w:rPr>
                <w:sz w:val="20"/>
                <w:szCs w:val="20"/>
              </w:rPr>
            </w:pPr>
            <w:r>
              <w:rPr>
                <w:sz w:val="20"/>
                <w:szCs w:val="20"/>
              </w:rPr>
              <w:t>Verplichting</w:t>
            </w:r>
            <w:r w:rsidR="0054463E">
              <w:rPr>
                <w:sz w:val="20"/>
                <w:szCs w:val="20"/>
              </w:rPr>
              <w:t>s</w:t>
            </w:r>
            <w:r>
              <w:rPr>
                <w:sz w:val="20"/>
                <w:szCs w:val="20"/>
              </w:rPr>
              <w:t>nummer;</w:t>
            </w:r>
          </w:p>
          <w:p w14:paraId="076625C8" w14:textId="77777777" w:rsidR="002A4BAC" w:rsidRDefault="002A4BAC" w:rsidP="002A4BAC">
            <w:pPr>
              <w:pStyle w:val="Default"/>
              <w:numPr>
                <w:ilvl w:val="0"/>
                <w:numId w:val="26"/>
              </w:numPr>
              <w:rPr>
                <w:sz w:val="20"/>
                <w:szCs w:val="20"/>
              </w:rPr>
            </w:pPr>
            <w:r>
              <w:rPr>
                <w:sz w:val="20"/>
                <w:szCs w:val="20"/>
              </w:rPr>
              <w:t>D</w:t>
            </w:r>
            <w:r w:rsidR="00B803FC">
              <w:rPr>
                <w:sz w:val="20"/>
                <w:szCs w:val="20"/>
              </w:rPr>
              <w:t>e datum van de geleverde dienstverlening met korte omschrijving</w:t>
            </w:r>
            <w:r>
              <w:rPr>
                <w:sz w:val="20"/>
                <w:szCs w:val="20"/>
              </w:rPr>
              <w:t>;</w:t>
            </w:r>
          </w:p>
          <w:p w14:paraId="74C421B3" w14:textId="5D3ED6A2" w:rsidR="002A4BAC" w:rsidRDefault="002A4BAC" w:rsidP="002A4BAC">
            <w:pPr>
              <w:pStyle w:val="Default"/>
              <w:numPr>
                <w:ilvl w:val="0"/>
                <w:numId w:val="26"/>
              </w:numPr>
              <w:rPr>
                <w:sz w:val="20"/>
                <w:szCs w:val="20"/>
              </w:rPr>
            </w:pPr>
            <w:r>
              <w:rPr>
                <w:sz w:val="20"/>
                <w:szCs w:val="20"/>
              </w:rPr>
              <w:t xml:space="preserve">Het </w:t>
            </w:r>
            <w:proofErr w:type="spellStart"/>
            <w:r w:rsidR="0054463E">
              <w:rPr>
                <w:sz w:val="20"/>
                <w:szCs w:val="20"/>
              </w:rPr>
              <w:t>BTW</w:t>
            </w:r>
            <w:r>
              <w:rPr>
                <w:sz w:val="20"/>
                <w:szCs w:val="20"/>
              </w:rPr>
              <w:t>-bedrag</w:t>
            </w:r>
            <w:proofErr w:type="spellEnd"/>
            <w:r>
              <w:rPr>
                <w:sz w:val="20"/>
                <w:szCs w:val="20"/>
              </w:rPr>
              <w:t>;</w:t>
            </w:r>
          </w:p>
          <w:p w14:paraId="234DCB23" w14:textId="2641AEBE" w:rsidR="002A4BAC" w:rsidRDefault="002A4BAC" w:rsidP="002A4BAC">
            <w:pPr>
              <w:pStyle w:val="Default"/>
              <w:numPr>
                <w:ilvl w:val="0"/>
                <w:numId w:val="26"/>
              </w:numPr>
              <w:rPr>
                <w:sz w:val="20"/>
                <w:szCs w:val="20"/>
              </w:rPr>
            </w:pPr>
            <w:proofErr w:type="spellStart"/>
            <w:r>
              <w:rPr>
                <w:sz w:val="20"/>
                <w:szCs w:val="20"/>
              </w:rPr>
              <w:t>BTW</w:t>
            </w:r>
            <w:r w:rsidR="0054463E">
              <w:rPr>
                <w:sz w:val="20"/>
                <w:szCs w:val="20"/>
              </w:rPr>
              <w:t>-</w:t>
            </w:r>
            <w:r>
              <w:rPr>
                <w:sz w:val="20"/>
                <w:szCs w:val="20"/>
              </w:rPr>
              <w:t>nummer</w:t>
            </w:r>
            <w:proofErr w:type="spellEnd"/>
            <w:r>
              <w:rPr>
                <w:sz w:val="20"/>
                <w:szCs w:val="20"/>
              </w:rPr>
              <w:t xml:space="preserve"> van Inschrijver;</w:t>
            </w:r>
          </w:p>
          <w:p w14:paraId="7A76C1F9" w14:textId="77777777" w:rsidR="002A4BAC" w:rsidRDefault="002A4BAC" w:rsidP="002A4BAC">
            <w:pPr>
              <w:pStyle w:val="Default"/>
              <w:numPr>
                <w:ilvl w:val="0"/>
                <w:numId w:val="26"/>
              </w:numPr>
              <w:rPr>
                <w:sz w:val="20"/>
                <w:szCs w:val="20"/>
              </w:rPr>
            </w:pPr>
            <w:r>
              <w:rPr>
                <w:sz w:val="20"/>
                <w:szCs w:val="20"/>
              </w:rPr>
              <w:t>KvK-nummer van Inschrijver;</w:t>
            </w:r>
          </w:p>
          <w:p w14:paraId="38FC5981" w14:textId="77777777" w:rsidR="002A4BAC" w:rsidRDefault="00B803FC" w:rsidP="002A4BAC">
            <w:pPr>
              <w:pStyle w:val="Default"/>
              <w:numPr>
                <w:ilvl w:val="0"/>
                <w:numId w:val="26"/>
              </w:numPr>
              <w:rPr>
                <w:sz w:val="20"/>
                <w:szCs w:val="20"/>
              </w:rPr>
            </w:pPr>
            <w:r>
              <w:rPr>
                <w:sz w:val="20"/>
                <w:szCs w:val="20"/>
              </w:rPr>
              <w:t>Bankrekeningnum</w:t>
            </w:r>
            <w:r w:rsidR="002A4BAC">
              <w:rPr>
                <w:sz w:val="20"/>
                <w:szCs w:val="20"/>
              </w:rPr>
              <w:t>mer van Inschrijver.</w:t>
            </w:r>
          </w:p>
          <w:p w14:paraId="44028101" w14:textId="77777777" w:rsidR="002A4BAC" w:rsidRDefault="002A4BAC" w:rsidP="00B803FC">
            <w:pPr>
              <w:pStyle w:val="Default"/>
              <w:rPr>
                <w:sz w:val="20"/>
                <w:szCs w:val="20"/>
              </w:rPr>
            </w:pPr>
          </w:p>
          <w:p w14:paraId="2F1BE6B8" w14:textId="77777777" w:rsidR="001E1972" w:rsidRDefault="00B803FC" w:rsidP="002A4BAC">
            <w:pPr>
              <w:pStyle w:val="Default"/>
            </w:pPr>
            <w:r>
              <w:rPr>
                <w:sz w:val="20"/>
                <w:szCs w:val="20"/>
              </w:rPr>
              <w:t>Indien deze kenmerken ontbreken vindt geen tijdige betaling plaats en zal d</w:t>
            </w:r>
            <w:r w:rsidR="002A4BAC">
              <w:rPr>
                <w:sz w:val="20"/>
                <w:szCs w:val="20"/>
              </w:rPr>
              <w:t>e factuur worden geretourneerd.</w:t>
            </w:r>
          </w:p>
        </w:tc>
        <w:tc>
          <w:tcPr>
            <w:tcW w:w="986" w:type="dxa"/>
          </w:tcPr>
          <w:p w14:paraId="5C6EF523" w14:textId="77777777" w:rsidR="001E1972" w:rsidRDefault="001E1972" w:rsidP="001E1972"/>
        </w:tc>
      </w:tr>
      <w:tr w:rsidR="001E1972" w14:paraId="6E367402" w14:textId="77777777" w:rsidTr="001E1972">
        <w:tc>
          <w:tcPr>
            <w:tcW w:w="494" w:type="dxa"/>
          </w:tcPr>
          <w:p w14:paraId="6B40F75D" w14:textId="612602F7" w:rsidR="001E1972" w:rsidRDefault="0054463E" w:rsidP="001E1972">
            <w:r>
              <w:t>44</w:t>
            </w:r>
          </w:p>
        </w:tc>
        <w:tc>
          <w:tcPr>
            <w:tcW w:w="7865" w:type="dxa"/>
          </w:tcPr>
          <w:p w14:paraId="365EAA04" w14:textId="2A98261C" w:rsidR="002A4BAC" w:rsidRDefault="002A4BAC" w:rsidP="002A4BAC">
            <w:pPr>
              <w:pStyle w:val="Default"/>
              <w:rPr>
                <w:sz w:val="20"/>
                <w:szCs w:val="20"/>
              </w:rPr>
            </w:pPr>
            <w:r>
              <w:rPr>
                <w:sz w:val="20"/>
                <w:szCs w:val="20"/>
              </w:rPr>
              <w:t>Inschrijver factureert</w:t>
            </w:r>
            <w:r w:rsidR="006607DB">
              <w:rPr>
                <w:sz w:val="20"/>
                <w:szCs w:val="20"/>
              </w:rPr>
              <w:t>, per WMP,</w:t>
            </w:r>
            <w:r>
              <w:rPr>
                <w:sz w:val="20"/>
                <w:szCs w:val="20"/>
              </w:rPr>
              <w:t xml:space="preserve"> de volgende bedragen/percentages op de volgende punten:</w:t>
            </w:r>
          </w:p>
          <w:p w14:paraId="359D68FF" w14:textId="5943B8A0" w:rsidR="00340282" w:rsidRPr="00340282" w:rsidRDefault="00340282" w:rsidP="00340282">
            <w:pPr>
              <w:pStyle w:val="Default"/>
              <w:numPr>
                <w:ilvl w:val="0"/>
                <w:numId w:val="26"/>
              </w:numPr>
              <w:rPr>
                <w:sz w:val="20"/>
                <w:szCs w:val="20"/>
              </w:rPr>
            </w:pPr>
            <w:r w:rsidRPr="00340282">
              <w:rPr>
                <w:sz w:val="20"/>
                <w:szCs w:val="20"/>
              </w:rPr>
              <w:t>25% bij start WMP;</w:t>
            </w:r>
          </w:p>
          <w:p w14:paraId="72D1BDE0" w14:textId="64076E21" w:rsidR="00340282" w:rsidRPr="00340282" w:rsidRDefault="00340282" w:rsidP="00340282">
            <w:pPr>
              <w:pStyle w:val="Default"/>
              <w:numPr>
                <w:ilvl w:val="0"/>
                <w:numId w:val="26"/>
              </w:numPr>
              <w:rPr>
                <w:sz w:val="20"/>
                <w:szCs w:val="20"/>
              </w:rPr>
            </w:pPr>
            <w:r w:rsidRPr="00340282">
              <w:rPr>
                <w:sz w:val="20"/>
                <w:szCs w:val="20"/>
              </w:rPr>
              <w:t>25% na afronding inventarisatie- en analysefase;</w:t>
            </w:r>
          </w:p>
          <w:p w14:paraId="736E1FE6" w14:textId="6FC8E804" w:rsidR="00340282" w:rsidRPr="00340282" w:rsidRDefault="00340282" w:rsidP="00340282">
            <w:pPr>
              <w:pStyle w:val="Default"/>
              <w:numPr>
                <w:ilvl w:val="0"/>
                <w:numId w:val="26"/>
              </w:numPr>
              <w:rPr>
                <w:sz w:val="20"/>
                <w:szCs w:val="20"/>
              </w:rPr>
            </w:pPr>
            <w:r w:rsidRPr="00340282">
              <w:rPr>
                <w:sz w:val="20"/>
                <w:szCs w:val="20"/>
              </w:rPr>
              <w:t>25% na afronding maatregelenfase;</w:t>
            </w:r>
          </w:p>
          <w:p w14:paraId="62CABF8D" w14:textId="7A56B59C" w:rsidR="00340282" w:rsidRPr="00340282" w:rsidRDefault="00340282" w:rsidP="00340282">
            <w:pPr>
              <w:pStyle w:val="Default"/>
              <w:numPr>
                <w:ilvl w:val="0"/>
                <w:numId w:val="26"/>
              </w:numPr>
              <w:rPr>
                <w:sz w:val="20"/>
                <w:szCs w:val="20"/>
              </w:rPr>
            </w:pPr>
            <w:r w:rsidRPr="00340282">
              <w:rPr>
                <w:sz w:val="20"/>
                <w:szCs w:val="20"/>
              </w:rPr>
              <w:t>25% na vaststelling door de raad.</w:t>
            </w:r>
          </w:p>
          <w:p w14:paraId="70B509DD" w14:textId="77777777" w:rsidR="00340282" w:rsidRDefault="00340282" w:rsidP="00340282">
            <w:pPr>
              <w:pStyle w:val="Default"/>
              <w:rPr>
                <w:sz w:val="20"/>
                <w:szCs w:val="20"/>
              </w:rPr>
            </w:pPr>
          </w:p>
          <w:p w14:paraId="2A183062" w14:textId="01016BA5" w:rsidR="00C95DAE" w:rsidRPr="002A4BAC" w:rsidRDefault="00340282" w:rsidP="00340282">
            <w:pPr>
              <w:pStyle w:val="Default"/>
            </w:pPr>
            <w:r w:rsidRPr="00340282">
              <w:rPr>
                <w:sz w:val="20"/>
                <w:szCs w:val="20"/>
              </w:rPr>
              <w:t>Mocht er uitstel of afstel plaatsvinden bij de raadscommissie, dan mag Opdrachtnemer 20% factureren, en wordt de overige 5% gefactureerd bij oplevering van de definitieve rapportage</w:t>
            </w:r>
            <w:r w:rsidR="00C95DAE">
              <w:rPr>
                <w:sz w:val="20"/>
                <w:szCs w:val="20"/>
              </w:rPr>
              <w:t>.</w:t>
            </w:r>
          </w:p>
          <w:p w14:paraId="0D98562F" w14:textId="77777777" w:rsidR="002A4BAC" w:rsidRDefault="002A4BAC" w:rsidP="002A4BAC">
            <w:pPr>
              <w:pStyle w:val="Default"/>
            </w:pPr>
            <w:bookmarkStart w:id="0" w:name="_GoBack"/>
            <w:bookmarkEnd w:id="0"/>
          </w:p>
          <w:p w14:paraId="282F0EC2" w14:textId="77777777" w:rsidR="001E1972" w:rsidRDefault="002A4BAC" w:rsidP="002A4BAC">
            <w:pPr>
              <w:pStyle w:val="Default"/>
            </w:pPr>
            <w:r w:rsidRPr="002A4BAC">
              <w:rPr>
                <w:sz w:val="20"/>
                <w:szCs w:val="20"/>
              </w:rPr>
              <w:lastRenderedPageBreak/>
              <w:t>De verplichting tot betaling van de geleverde diensten ontstaat eerst na acceptatie van de diensten.</w:t>
            </w:r>
          </w:p>
        </w:tc>
        <w:tc>
          <w:tcPr>
            <w:tcW w:w="986" w:type="dxa"/>
          </w:tcPr>
          <w:p w14:paraId="3055FF78" w14:textId="77777777" w:rsidR="001E1972" w:rsidRDefault="001E1972" w:rsidP="001E1972"/>
        </w:tc>
      </w:tr>
      <w:tr w:rsidR="001E1972" w14:paraId="19D61171" w14:textId="77777777" w:rsidTr="001E1972">
        <w:tc>
          <w:tcPr>
            <w:tcW w:w="494" w:type="dxa"/>
          </w:tcPr>
          <w:p w14:paraId="3A0D73A1" w14:textId="51731403" w:rsidR="001E1972" w:rsidRDefault="0054463E" w:rsidP="001E1972">
            <w:r>
              <w:t>45</w:t>
            </w:r>
          </w:p>
        </w:tc>
        <w:tc>
          <w:tcPr>
            <w:tcW w:w="7865" w:type="dxa"/>
          </w:tcPr>
          <w:p w14:paraId="3119A78E" w14:textId="150A0396" w:rsidR="001E1972" w:rsidRDefault="002A4BAC" w:rsidP="001357D0">
            <w:pPr>
              <w:pStyle w:val="Default"/>
            </w:pPr>
            <w:r>
              <w:rPr>
                <w:sz w:val="20"/>
                <w:szCs w:val="20"/>
              </w:rPr>
              <w:t xml:space="preserve">Op deze aanbesteding is het Nederlands recht van toepassing. De </w:t>
            </w:r>
            <w:r w:rsidR="001357D0">
              <w:rPr>
                <w:sz w:val="20"/>
                <w:szCs w:val="20"/>
              </w:rPr>
              <w:t>“</w:t>
            </w:r>
            <w:r>
              <w:rPr>
                <w:sz w:val="20"/>
                <w:szCs w:val="20"/>
              </w:rPr>
              <w:t xml:space="preserve">Algemene Inkoopvoorwaarden </w:t>
            </w:r>
            <w:r w:rsidR="001357D0" w:rsidRPr="006607DB">
              <w:rPr>
                <w:sz w:val="20"/>
                <w:szCs w:val="20"/>
              </w:rPr>
              <w:t xml:space="preserve">VNG voor Leveringen en Diensten t.b.v. de Gemeente Gouda 2013 (versie 15-10-2013)” </w:t>
            </w:r>
            <w:r>
              <w:rPr>
                <w:sz w:val="20"/>
                <w:szCs w:val="20"/>
              </w:rPr>
              <w:t xml:space="preserve">zijn uitsluitend van toepassing. Levering, betaling- en andere voorwaarden van inschrijvers worden uitdrukkelijk van de hand gewezen. </w:t>
            </w:r>
          </w:p>
        </w:tc>
        <w:tc>
          <w:tcPr>
            <w:tcW w:w="986" w:type="dxa"/>
          </w:tcPr>
          <w:p w14:paraId="403DB1AD" w14:textId="77777777" w:rsidR="001E1972" w:rsidRDefault="001E1972" w:rsidP="001E1972"/>
        </w:tc>
      </w:tr>
      <w:tr w:rsidR="001E1972" w14:paraId="612CF450" w14:textId="77777777" w:rsidTr="001E1972">
        <w:tc>
          <w:tcPr>
            <w:tcW w:w="494" w:type="dxa"/>
          </w:tcPr>
          <w:p w14:paraId="4467DC7D" w14:textId="456FF64D" w:rsidR="001E1972" w:rsidRDefault="0054463E" w:rsidP="001E1972">
            <w:r>
              <w:t>46</w:t>
            </w:r>
          </w:p>
        </w:tc>
        <w:tc>
          <w:tcPr>
            <w:tcW w:w="7865" w:type="dxa"/>
          </w:tcPr>
          <w:p w14:paraId="5F828957" w14:textId="77777777" w:rsidR="001E1972" w:rsidRDefault="002A4BAC" w:rsidP="002A4BAC">
            <w:pPr>
              <w:pStyle w:val="Default"/>
            </w:pPr>
            <w:r>
              <w:rPr>
                <w:sz w:val="20"/>
                <w:szCs w:val="20"/>
              </w:rPr>
              <w:t>De door Inschrijver in het kader van de uitvoering van de opdracht geleverde producties, onderzoeksresultaten etc. worden eigendom van Opdrachtgever. Opdrachtgever kan de betreffende informatie/gegevens vrijelijk gebruiken.</w:t>
            </w:r>
          </w:p>
        </w:tc>
        <w:tc>
          <w:tcPr>
            <w:tcW w:w="986" w:type="dxa"/>
          </w:tcPr>
          <w:p w14:paraId="2DDBB7F5" w14:textId="77777777" w:rsidR="001E1972" w:rsidRDefault="001E1972" w:rsidP="001E1972"/>
        </w:tc>
      </w:tr>
      <w:tr w:rsidR="002A4BAC" w14:paraId="1B96B82E" w14:textId="77777777" w:rsidTr="001E1972">
        <w:tc>
          <w:tcPr>
            <w:tcW w:w="494" w:type="dxa"/>
          </w:tcPr>
          <w:p w14:paraId="14A597C0" w14:textId="4C5D7DE1" w:rsidR="002A4BAC" w:rsidRDefault="0054463E" w:rsidP="001E1972">
            <w:r>
              <w:t>47</w:t>
            </w:r>
          </w:p>
        </w:tc>
        <w:tc>
          <w:tcPr>
            <w:tcW w:w="7865" w:type="dxa"/>
          </w:tcPr>
          <w:p w14:paraId="2FBB6FCD" w14:textId="77777777" w:rsidR="002A4BAC" w:rsidRPr="002A4BAC" w:rsidRDefault="002A4BAC" w:rsidP="002A4BAC">
            <w:pPr>
              <w:pStyle w:val="Default"/>
            </w:pPr>
            <w:r>
              <w:rPr>
                <w:sz w:val="20"/>
                <w:szCs w:val="20"/>
              </w:rPr>
              <w:t xml:space="preserve">Inschrijver beschikt over een geldige klachtenprocedure. </w:t>
            </w:r>
          </w:p>
        </w:tc>
        <w:tc>
          <w:tcPr>
            <w:tcW w:w="986" w:type="dxa"/>
          </w:tcPr>
          <w:p w14:paraId="44BCD726" w14:textId="77777777" w:rsidR="002A4BAC" w:rsidRDefault="002A4BAC" w:rsidP="001E1972"/>
        </w:tc>
      </w:tr>
      <w:tr w:rsidR="002A4BAC" w14:paraId="7183A91D" w14:textId="77777777" w:rsidTr="001E1972">
        <w:tc>
          <w:tcPr>
            <w:tcW w:w="494" w:type="dxa"/>
          </w:tcPr>
          <w:p w14:paraId="00247B5B" w14:textId="6F6141B6" w:rsidR="002A4BAC" w:rsidRDefault="0054463E" w:rsidP="001E1972">
            <w:r>
              <w:t>48</w:t>
            </w:r>
          </w:p>
        </w:tc>
        <w:tc>
          <w:tcPr>
            <w:tcW w:w="7865" w:type="dxa"/>
          </w:tcPr>
          <w:p w14:paraId="129CFFD8" w14:textId="77777777" w:rsidR="002A4BAC" w:rsidRPr="002A4BAC" w:rsidRDefault="002A4BAC" w:rsidP="002A4BAC">
            <w:pPr>
              <w:pStyle w:val="Default"/>
            </w:pPr>
            <w:r>
              <w:rPr>
                <w:sz w:val="20"/>
                <w:szCs w:val="20"/>
              </w:rPr>
              <w:t xml:space="preserve">Inschrijver kan geen verhoogd tarief in rekening brengen voor bijvoorbeeld overwerk of werkzaamheden op een feestdag. </w:t>
            </w:r>
          </w:p>
        </w:tc>
        <w:tc>
          <w:tcPr>
            <w:tcW w:w="986" w:type="dxa"/>
          </w:tcPr>
          <w:p w14:paraId="2C0FB446" w14:textId="77777777" w:rsidR="002A4BAC" w:rsidRDefault="002A4BAC" w:rsidP="001E1972"/>
        </w:tc>
      </w:tr>
      <w:tr w:rsidR="002A4BAC" w14:paraId="59BEA5D5" w14:textId="77777777" w:rsidTr="001E1972">
        <w:tc>
          <w:tcPr>
            <w:tcW w:w="494" w:type="dxa"/>
          </w:tcPr>
          <w:p w14:paraId="62FBBF16" w14:textId="5FC21226" w:rsidR="002A4BAC" w:rsidRDefault="0054463E" w:rsidP="001E1972">
            <w:r>
              <w:t>49</w:t>
            </w:r>
          </w:p>
        </w:tc>
        <w:tc>
          <w:tcPr>
            <w:tcW w:w="7865" w:type="dxa"/>
          </w:tcPr>
          <w:p w14:paraId="6EDE8B14" w14:textId="77777777" w:rsidR="002A4BAC" w:rsidRPr="002A4BAC" w:rsidRDefault="002A4BAC" w:rsidP="002A4BAC">
            <w:pPr>
              <w:pStyle w:val="Default"/>
            </w:pPr>
            <w:r>
              <w:rPr>
                <w:sz w:val="20"/>
                <w:szCs w:val="20"/>
              </w:rPr>
              <w:t xml:space="preserve">Inschrijver kan alleen meerwerk in rekening brengen indien Aanbesteder opdracht heeft gegeven voor dat meerwerk. Inschrijver dient voorafgaand aan dat meerwerk telkens duidelijk aan te geven waardoor en door wie dat meerwerk is ontstaan, binnen welke termijn dat meerwerk wordt gerealiseerd en wat de financiële gevolgen zijn van dat meerwerk. Inschrijver kan derhalve geen meerwerk factureren zonder dat daar door Aanbesteder formeel opdracht voor is gegeven. Eventueel meerwerk geschiedt altijd onder de condities van de overeenkomst en indien het 'ander' werk betreft handelt Inschrijver naar de geest van de overeenkomst als maakte dat 'ander' (onvoorzien) werk deel uit van de overeenkomst. </w:t>
            </w:r>
          </w:p>
        </w:tc>
        <w:tc>
          <w:tcPr>
            <w:tcW w:w="986" w:type="dxa"/>
          </w:tcPr>
          <w:p w14:paraId="6A8A612B" w14:textId="77777777" w:rsidR="002A4BAC" w:rsidRDefault="002A4BAC" w:rsidP="001E1972"/>
        </w:tc>
      </w:tr>
    </w:tbl>
    <w:p w14:paraId="01ECB5D9" w14:textId="77777777" w:rsidR="00E97F3A" w:rsidRDefault="00E97F3A" w:rsidP="00E97F3A"/>
    <w:p w14:paraId="7108F4A9" w14:textId="77777777" w:rsidR="00E97F3A" w:rsidRDefault="00E97F3A" w:rsidP="00E97F3A"/>
    <w:p w14:paraId="7F9EE563" w14:textId="77777777" w:rsidR="006B0BF5" w:rsidRDefault="006B0BF5" w:rsidP="006B0BF5">
      <w:pPr>
        <w:pStyle w:val="Default"/>
        <w:rPr>
          <w:rFonts w:asciiTheme="minorHAnsi" w:hAnsiTheme="minorHAnsi" w:cstheme="minorHAnsi"/>
          <w:sz w:val="20"/>
          <w:szCs w:val="20"/>
        </w:rPr>
      </w:pPr>
    </w:p>
    <w:p w14:paraId="0DD310C3" w14:textId="77777777" w:rsidR="006B0BF5" w:rsidRDefault="006B0BF5" w:rsidP="006B0BF5">
      <w:pPr>
        <w:pStyle w:val="Default"/>
        <w:rPr>
          <w:rFonts w:asciiTheme="minorHAnsi" w:hAnsiTheme="minorHAnsi" w:cstheme="minorHAnsi"/>
          <w:sz w:val="20"/>
          <w:szCs w:val="20"/>
        </w:rPr>
      </w:pPr>
      <w:r>
        <w:rPr>
          <w:rFonts w:asciiTheme="minorHAnsi" w:hAnsiTheme="minorHAnsi" w:cstheme="minorHAnsi"/>
          <w:sz w:val="20"/>
          <w:szCs w:val="20"/>
        </w:rPr>
        <w:t>Naam Inschrijver:</w:t>
      </w:r>
    </w:p>
    <w:p w14:paraId="7536BDD0" w14:textId="77777777" w:rsidR="006B0BF5" w:rsidRDefault="006B0BF5" w:rsidP="006B0BF5">
      <w:pPr>
        <w:pStyle w:val="Default"/>
        <w:rPr>
          <w:rFonts w:asciiTheme="minorHAnsi" w:hAnsiTheme="minorHAnsi" w:cstheme="minorHAnsi"/>
          <w:sz w:val="20"/>
          <w:szCs w:val="20"/>
        </w:rPr>
      </w:pPr>
    </w:p>
    <w:p w14:paraId="501CBE83" w14:textId="77777777" w:rsidR="006B0BF5" w:rsidRDefault="006B0BF5" w:rsidP="006B0BF5">
      <w:pPr>
        <w:pStyle w:val="Default"/>
        <w:rPr>
          <w:rFonts w:asciiTheme="minorHAnsi" w:hAnsiTheme="minorHAnsi" w:cstheme="minorHAnsi"/>
          <w:sz w:val="20"/>
          <w:szCs w:val="20"/>
        </w:rPr>
      </w:pPr>
    </w:p>
    <w:p w14:paraId="79C57B6E" w14:textId="77777777" w:rsidR="006B0BF5" w:rsidRDefault="006B0BF5" w:rsidP="006B0BF5">
      <w:pPr>
        <w:pStyle w:val="Default"/>
        <w:rPr>
          <w:rFonts w:asciiTheme="minorHAnsi" w:hAnsiTheme="minorHAnsi" w:cstheme="minorHAnsi"/>
          <w:sz w:val="20"/>
          <w:szCs w:val="20"/>
        </w:rPr>
      </w:pPr>
      <w:r>
        <w:rPr>
          <w:rFonts w:asciiTheme="minorHAnsi" w:hAnsiTheme="minorHAnsi" w:cstheme="minorHAnsi"/>
          <w:sz w:val="20"/>
          <w:szCs w:val="20"/>
        </w:rPr>
        <w:t>Handtekening:</w:t>
      </w:r>
    </w:p>
    <w:p w14:paraId="281D34FB" w14:textId="77777777" w:rsidR="006B0BF5" w:rsidRDefault="006B0BF5" w:rsidP="006B0BF5">
      <w:pPr>
        <w:pStyle w:val="Default"/>
        <w:rPr>
          <w:rFonts w:asciiTheme="minorHAnsi" w:hAnsiTheme="minorHAnsi" w:cstheme="minorHAnsi"/>
          <w:sz w:val="20"/>
          <w:szCs w:val="20"/>
        </w:rPr>
      </w:pPr>
    </w:p>
    <w:p w14:paraId="03864B24" w14:textId="77777777" w:rsidR="006B0BF5" w:rsidRDefault="006B0BF5" w:rsidP="006B0BF5">
      <w:pPr>
        <w:pStyle w:val="Default"/>
        <w:rPr>
          <w:rFonts w:asciiTheme="minorHAnsi" w:hAnsiTheme="minorHAnsi" w:cstheme="minorHAnsi"/>
          <w:sz w:val="20"/>
          <w:szCs w:val="20"/>
        </w:rPr>
      </w:pPr>
    </w:p>
    <w:p w14:paraId="51FD6245" w14:textId="77777777" w:rsidR="006B0BF5" w:rsidRDefault="006B0BF5" w:rsidP="006B0BF5">
      <w:pPr>
        <w:pStyle w:val="Default"/>
        <w:rPr>
          <w:rFonts w:asciiTheme="minorHAnsi" w:hAnsiTheme="minorHAnsi" w:cstheme="minorHAnsi"/>
          <w:sz w:val="20"/>
          <w:szCs w:val="20"/>
        </w:rPr>
      </w:pPr>
      <w:r>
        <w:rPr>
          <w:rFonts w:asciiTheme="minorHAnsi" w:hAnsiTheme="minorHAnsi" w:cstheme="minorHAnsi"/>
          <w:sz w:val="20"/>
          <w:szCs w:val="20"/>
        </w:rPr>
        <w:t>Naam:</w:t>
      </w:r>
    </w:p>
    <w:p w14:paraId="00AFC1C5" w14:textId="77777777" w:rsidR="006B0BF5" w:rsidRDefault="006B0BF5" w:rsidP="006B0BF5">
      <w:pPr>
        <w:pStyle w:val="Default"/>
        <w:rPr>
          <w:rFonts w:asciiTheme="minorHAnsi" w:hAnsiTheme="minorHAnsi" w:cstheme="minorHAnsi"/>
          <w:sz w:val="20"/>
          <w:szCs w:val="20"/>
        </w:rPr>
      </w:pPr>
    </w:p>
    <w:p w14:paraId="71A947BA" w14:textId="77777777" w:rsidR="006B0BF5" w:rsidRDefault="006B0BF5" w:rsidP="006B0BF5">
      <w:pPr>
        <w:pStyle w:val="Default"/>
        <w:rPr>
          <w:rFonts w:asciiTheme="minorHAnsi" w:hAnsiTheme="minorHAnsi" w:cstheme="minorHAnsi"/>
          <w:sz w:val="20"/>
          <w:szCs w:val="20"/>
        </w:rPr>
      </w:pPr>
    </w:p>
    <w:p w14:paraId="0631AE60" w14:textId="77777777" w:rsidR="006B0BF5" w:rsidRDefault="006B0BF5" w:rsidP="006B0BF5">
      <w:pPr>
        <w:pStyle w:val="Default"/>
        <w:rPr>
          <w:rFonts w:asciiTheme="minorHAnsi" w:hAnsiTheme="minorHAnsi" w:cstheme="minorHAnsi"/>
          <w:sz w:val="20"/>
          <w:szCs w:val="20"/>
        </w:rPr>
      </w:pPr>
      <w:r>
        <w:rPr>
          <w:rFonts w:asciiTheme="minorHAnsi" w:hAnsiTheme="minorHAnsi" w:cstheme="minorHAnsi"/>
          <w:sz w:val="20"/>
          <w:szCs w:val="20"/>
        </w:rPr>
        <w:t>Datum:</w:t>
      </w:r>
    </w:p>
    <w:p w14:paraId="3AFB4502" w14:textId="77777777" w:rsidR="006B0BF5" w:rsidRDefault="006B0BF5" w:rsidP="006B0BF5">
      <w:pPr>
        <w:pStyle w:val="Default"/>
        <w:rPr>
          <w:rFonts w:asciiTheme="minorHAnsi" w:hAnsiTheme="minorHAnsi" w:cstheme="minorHAnsi"/>
          <w:sz w:val="20"/>
          <w:szCs w:val="20"/>
        </w:rPr>
      </w:pPr>
    </w:p>
    <w:p w14:paraId="5493370A" w14:textId="77777777" w:rsidR="006B0BF5" w:rsidRDefault="006B0BF5" w:rsidP="006B0BF5">
      <w:pPr>
        <w:pStyle w:val="Default"/>
        <w:rPr>
          <w:rFonts w:asciiTheme="minorHAnsi" w:hAnsiTheme="minorHAnsi" w:cstheme="minorHAnsi"/>
          <w:sz w:val="20"/>
          <w:szCs w:val="20"/>
        </w:rPr>
      </w:pPr>
    </w:p>
    <w:p w14:paraId="2EB36841" w14:textId="77777777" w:rsidR="006B0BF5" w:rsidRDefault="006B0BF5" w:rsidP="006B0BF5">
      <w:pPr>
        <w:pStyle w:val="Default"/>
        <w:rPr>
          <w:rFonts w:asciiTheme="minorHAnsi" w:hAnsiTheme="minorHAnsi" w:cstheme="minorHAnsi"/>
          <w:sz w:val="20"/>
          <w:szCs w:val="20"/>
        </w:rPr>
      </w:pPr>
    </w:p>
    <w:p w14:paraId="33B3557D" w14:textId="77777777" w:rsidR="006B0BF5" w:rsidRDefault="006B0BF5" w:rsidP="006B0BF5">
      <w:pPr>
        <w:pStyle w:val="Default"/>
        <w:rPr>
          <w:rFonts w:asciiTheme="minorHAnsi" w:hAnsiTheme="minorHAnsi" w:cstheme="minorHAnsi"/>
          <w:sz w:val="20"/>
          <w:szCs w:val="20"/>
        </w:rPr>
      </w:pPr>
    </w:p>
    <w:p w14:paraId="01E36804" w14:textId="77777777" w:rsidR="006B0BF5" w:rsidRPr="005D12D5" w:rsidRDefault="006B0BF5" w:rsidP="004258D4">
      <w:pPr>
        <w:pStyle w:val="Lijstnummering"/>
        <w:numPr>
          <w:ilvl w:val="0"/>
          <w:numId w:val="0"/>
        </w:numPr>
      </w:pPr>
    </w:p>
    <w:sectPr w:rsidR="006B0BF5" w:rsidRPr="005D12D5"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977D2" w14:textId="77777777" w:rsidR="00667F75" w:rsidRDefault="00667F75" w:rsidP="00F70BDC">
      <w:r>
        <w:separator/>
      </w:r>
    </w:p>
  </w:endnote>
  <w:endnote w:type="continuationSeparator" w:id="0">
    <w:p w14:paraId="28DC2F87" w14:textId="77777777" w:rsidR="00667F75" w:rsidRDefault="00667F75"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CA4D" w14:textId="1F6A0DA5" w:rsidR="000B52D6"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AB719D">
      <w:rPr>
        <w:noProof/>
      </w:rPr>
      <w:t>2</w:t>
    </w:r>
    <w:r w:rsidR="009B04B3">
      <w:rPr>
        <w:noProof/>
      </w:rPr>
      <w:fldChar w:fldCharType="end"/>
    </w:r>
  </w:p>
  <w:p w14:paraId="3291E715" w14:textId="77777777" w:rsidR="000B52D6" w:rsidRDefault="00482248">
    <w:pPr>
      <w:pStyle w:val="Voettekst"/>
    </w:pPr>
    <w:r>
      <w:rPr>
        <w:noProof/>
      </w:rPr>
      <mc:AlternateContent>
        <mc:Choice Requires="wps">
          <w:drawing>
            <wp:anchor distT="0" distB="0" distL="114300" distR="114300" simplePos="0" relativeHeight="251657728" behindDoc="1" locked="0" layoutInCell="1" allowOverlap="1" wp14:anchorId="49E60E52" wp14:editId="19C03C07">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EB49F"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E108" w14:textId="77777777" w:rsidR="000B52D6" w:rsidRPr="00E2459A" w:rsidRDefault="009414AA" w:rsidP="00BD7D8E">
    <w:pPr>
      <w:pStyle w:val="Voettekst"/>
      <w:tabs>
        <w:tab w:val="clear" w:pos="4536"/>
        <w:tab w:val="clear" w:pos="9072"/>
        <w:tab w:val="right" w:pos="6047"/>
      </w:tabs>
      <w:rPr>
        <w:lang w:bidi="en-US"/>
      </w:rPr>
    </w:pPr>
    <w:r>
      <w:rPr>
        <w:rFonts w:cs="Arial"/>
        <w:sz w:val="16"/>
      </w:rPr>
      <w:tab/>
      <w:t xml:space="preserve">  </w:t>
    </w:r>
  </w:p>
  <w:p w14:paraId="09D59E24" w14:textId="77777777" w:rsidR="000B52D6" w:rsidRDefault="000B52D6">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D02BB" w14:textId="77777777" w:rsidR="00667F75" w:rsidRDefault="00667F75" w:rsidP="00F70BDC">
      <w:r>
        <w:separator/>
      </w:r>
    </w:p>
  </w:footnote>
  <w:footnote w:type="continuationSeparator" w:id="0">
    <w:p w14:paraId="6F52B439" w14:textId="77777777" w:rsidR="00667F75" w:rsidRDefault="00667F75"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14A5" w14:textId="5CA5951D" w:rsidR="000B52D6" w:rsidRDefault="00961AD1" w:rsidP="00526EC5">
    <w:pPr>
      <w:pStyle w:val="Koptekst"/>
      <w:rPr>
        <w:noProof/>
      </w:rPr>
    </w:pPr>
    <w:r>
      <w:rPr>
        <w:noProof/>
      </w:rPr>
      <w:drawing>
        <wp:anchor distT="0" distB="0" distL="114300" distR="114300" simplePos="0" relativeHeight="251659776" behindDoc="0" locked="0" layoutInCell="1" allowOverlap="1" wp14:anchorId="57565ED6" wp14:editId="0CC29B4C">
          <wp:simplePos x="0" y="0"/>
          <wp:positionH relativeFrom="page">
            <wp:align>left</wp:align>
          </wp:positionH>
          <wp:positionV relativeFrom="page">
            <wp:posOffset>7621</wp:posOffset>
          </wp:positionV>
          <wp:extent cx="2872740" cy="957768"/>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62" cy="961343"/>
                  </a:xfrm>
                  <a:prstGeom prst="rect">
                    <a:avLst/>
                  </a:prstGeom>
                </pic:spPr>
              </pic:pic>
            </a:graphicData>
          </a:graphic>
          <wp14:sizeRelH relativeFrom="margin">
            <wp14:pctWidth>0</wp14:pctWidth>
          </wp14:sizeRelH>
          <wp14:sizeRelV relativeFrom="margin">
            <wp14:pctHeight>0</wp14:pctHeight>
          </wp14:sizeRelV>
        </wp:anchor>
      </w:drawing>
    </w:r>
  </w:p>
  <w:p w14:paraId="385BB2B1" w14:textId="77777777" w:rsidR="000B52D6" w:rsidRPr="00526EC5" w:rsidRDefault="000B52D6"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E64D1F"/>
    <w:multiLevelType w:val="hybridMultilevel"/>
    <w:tmpl w:val="A476D9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Aria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Arial"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F695B3B"/>
    <w:multiLevelType w:val="hybridMultilevel"/>
    <w:tmpl w:val="836E7B8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7"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367E6"/>
    <w:multiLevelType w:val="hybridMultilevel"/>
    <w:tmpl w:val="7CBCC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401F2244"/>
    <w:multiLevelType w:val="hybridMultilevel"/>
    <w:tmpl w:val="9376A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504D94"/>
    <w:multiLevelType w:val="hybridMultilevel"/>
    <w:tmpl w:val="DC4E2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9" w15:restartNumberingAfterBreak="0">
    <w:nsid w:val="5CAD26D3"/>
    <w:multiLevelType w:val="hybridMultilevel"/>
    <w:tmpl w:val="592C4B8E"/>
    <w:lvl w:ilvl="0" w:tplc="419C7B2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26333B"/>
    <w:multiLevelType w:val="hybridMultilevel"/>
    <w:tmpl w:val="899CB222"/>
    <w:lvl w:ilvl="0" w:tplc="3380FF56">
      <w:numFmt w:val="bullet"/>
      <w:lvlText w:val="-"/>
      <w:lvlJc w:val="left"/>
      <w:pPr>
        <w:ind w:left="720" w:hanging="360"/>
      </w:pPr>
      <w:rPr>
        <w:rFonts w:ascii="Arial" w:eastAsia="Times New Roman" w:hAnsi="Arial" w:cs="Aria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5"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2"/>
  </w:num>
  <w:num w:numId="5">
    <w:abstractNumId w:val="12"/>
  </w:num>
  <w:num w:numId="6">
    <w:abstractNumId w:val="13"/>
    <w:lvlOverride w:ilvl="0">
      <w:startOverride w:val="1"/>
    </w:lvlOverride>
    <w:lvlOverride w:ilvl="1">
      <w:startOverride w:val="1"/>
    </w:lvlOverride>
  </w:num>
  <w:num w:numId="7">
    <w:abstractNumId w:val="20"/>
  </w:num>
  <w:num w:numId="8">
    <w:abstractNumId w:val="11"/>
  </w:num>
  <w:num w:numId="9">
    <w:abstractNumId w:val="17"/>
  </w:num>
  <w:num w:numId="10">
    <w:abstractNumId w:val="24"/>
  </w:num>
  <w:num w:numId="11">
    <w:abstractNumId w:val="15"/>
  </w:num>
  <w:num w:numId="12">
    <w:abstractNumId w:val="21"/>
  </w:num>
  <w:num w:numId="13">
    <w:abstractNumId w:val="1"/>
  </w:num>
  <w:num w:numId="14">
    <w:abstractNumId w:val="0"/>
  </w:num>
  <w:num w:numId="15">
    <w:abstractNumId w:val="18"/>
  </w:num>
  <w:num w:numId="16">
    <w:abstractNumId w:val="9"/>
  </w:num>
  <w:num w:numId="17">
    <w:abstractNumId w:val="7"/>
  </w:num>
  <w:num w:numId="18">
    <w:abstractNumId w:val="22"/>
  </w:num>
  <w:num w:numId="19">
    <w:abstractNumId w:val="25"/>
  </w:num>
  <w:num w:numId="20">
    <w:abstractNumId w:val="3"/>
  </w:num>
  <w:num w:numId="21">
    <w:abstractNumId w:val="4"/>
  </w:num>
  <w:num w:numId="22">
    <w:abstractNumId w:val="5"/>
  </w:num>
  <w:num w:numId="23">
    <w:abstractNumId w:val="16"/>
  </w:num>
  <w:num w:numId="24">
    <w:abstractNumId w:val="14"/>
  </w:num>
  <w:num w:numId="25">
    <w:abstractNumId w:val="10"/>
  </w:num>
  <w:num w:numId="26">
    <w:abstractNumId w:val="23"/>
  </w:num>
  <w:num w:numId="27">
    <w:abstractNumId w:val="19"/>
  </w:num>
  <w:num w:numId="28">
    <w:abstractNumId w:val="24"/>
  </w:num>
  <w:num w:numId="29">
    <w:abstractNumId w:val="24"/>
  </w:num>
  <w:num w:numId="30">
    <w:abstractNumId w:val="2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CD"/>
    <w:rsid w:val="00007542"/>
    <w:rsid w:val="00054FB0"/>
    <w:rsid w:val="00070F9D"/>
    <w:rsid w:val="00076E5F"/>
    <w:rsid w:val="000B52D6"/>
    <w:rsid w:val="000F7E8C"/>
    <w:rsid w:val="001357D0"/>
    <w:rsid w:val="00177B05"/>
    <w:rsid w:val="001A6D3A"/>
    <w:rsid w:val="001B03E7"/>
    <w:rsid w:val="001E1972"/>
    <w:rsid w:val="001F3766"/>
    <w:rsid w:val="00215697"/>
    <w:rsid w:val="002261C2"/>
    <w:rsid w:val="002A4BAC"/>
    <w:rsid w:val="002D6411"/>
    <w:rsid w:val="00340282"/>
    <w:rsid w:val="00391BC6"/>
    <w:rsid w:val="003E4737"/>
    <w:rsid w:val="004258D4"/>
    <w:rsid w:val="004755CB"/>
    <w:rsid w:val="00482248"/>
    <w:rsid w:val="00484AD9"/>
    <w:rsid w:val="004A0681"/>
    <w:rsid w:val="004A361F"/>
    <w:rsid w:val="004D6322"/>
    <w:rsid w:val="00534648"/>
    <w:rsid w:val="0054463E"/>
    <w:rsid w:val="005B6A49"/>
    <w:rsid w:val="005D12D5"/>
    <w:rsid w:val="0062667D"/>
    <w:rsid w:val="006607DB"/>
    <w:rsid w:val="00664BF3"/>
    <w:rsid w:val="00667F75"/>
    <w:rsid w:val="00693C7A"/>
    <w:rsid w:val="0069789E"/>
    <w:rsid w:val="006A08DD"/>
    <w:rsid w:val="006B0BF5"/>
    <w:rsid w:val="006D3539"/>
    <w:rsid w:val="00733DAC"/>
    <w:rsid w:val="00757C86"/>
    <w:rsid w:val="007F3547"/>
    <w:rsid w:val="008845DC"/>
    <w:rsid w:val="00886770"/>
    <w:rsid w:val="00893AB5"/>
    <w:rsid w:val="008D0D62"/>
    <w:rsid w:val="00903863"/>
    <w:rsid w:val="009414AA"/>
    <w:rsid w:val="00954765"/>
    <w:rsid w:val="00961AD1"/>
    <w:rsid w:val="00970729"/>
    <w:rsid w:val="009B04B3"/>
    <w:rsid w:val="00A54927"/>
    <w:rsid w:val="00AB719D"/>
    <w:rsid w:val="00B803FC"/>
    <w:rsid w:val="00C72319"/>
    <w:rsid w:val="00C76FD9"/>
    <w:rsid w:val="00C878FE"/>
    <w:rsid w:val="00C95DAE"/>
    <w:rsid w:val="00CD2DBC"/>
    <w:rsid w:val="00D86101"/>
    <w:rsid w:val="00DD55C6"/>
    <w:rsid w:val="00DF5AA5"/>
    <w:rsid w:val="00E31FCD"/>
    <w:rsid w:val="00E97F3A"/>
    <w:rsid w:val="00EA4EC7"/>
    <w:rsid w:val="00EF3829"/>
    <w:rsid w:val="00F11BDE"/>
    <w:rsid w:val="00F2347C"/>
    <w:rsid w:val="00F349BC"/>
    <w:rsid w:val="00F65874"/>
    <w:rsid w:val="00F70BDC"/>
    <w:rsid w:val="00F93632"/>
    <w:rsid w:val="00FE3B42"/>
    <w:rsid w:val="00FE3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2A4E"/>
  <w15:chartTrackingRefBased/>
  <w15:docId w15:val="{2697D6B4-9BBA-4419-B933-0AED0BFA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729"/>
    <w:pPr>
      <w:autoSpaceDE w:val="0"/>
      <w:autoSpaceDN w:val="0"/>
      <w:adjustRightInd w:val="0"/>
      <w:spacing w:after="0" w:line="240" w:lineRule="auto"/>
    </w:pPr>
    <w:rPr>
      <w:rFonts w:ascii="Arial" w:hAnsi="Arial" w:cs="Arial"/>
      <w:color w:val="000000"/>
      <w:sz w:val="24"/>
      <w:szCs w:val="24"/>
      <w:lang w:val="nl-NL" w:eastAsia="nl-NL" w:bidi="ar-SA"/>
    </w:rPr>
  </w:style>
  <w:style w:type="character" w:styleId="Verwijzingopmerking">
    <w:name w:val="annotation reference"/>
    <w:basedOn w:val="Standaardalinea-lettertype"/>
    <w:uiPriority w:val="99"/>
    <w:semiHidden/>
    <w:unhideWhenUsed/>
    <w:rsid w:val="006B0BF5"/>
    <w:rPr>
      <w:sz w:val="16"/>
      <w:szCs w:val="16"/>
    </w:rPr>
  </w:style>
  <w:style w:type="paragraph" w:styleId="Tekstopmerking">
    <w:name w:val="annotation text"/>
    <w:basedOn w:val="Standaard"/>
    <w:link w:val="TekstopmerkingChar"/>
    <w:uiPriority w:val="99"/>
    <w:semiHidden/>
    <w:unhideWhenUsed/>
    <w:rsid w:val="006B0BF5"/>
  </w:style>
  <w:style w:type="character" w:customStyle="1" w:styleId="TekstopmerkingChar">
    <w:name w:val="Tekst opmerking Char"/>
    <w:basedOn w:val="Standaardalinea-lettertype"/>
    <w:link w:val="Tekstopmerking"/>
    <w:uiPriority w:val="99"/>
    <w:semiHidden/>
    <w:rsid w:val="006B0BF5"/>
    <w:rPr>
      <w:rFonts w:ascii="Arial" w:hAnsi="Arial"/>
      <w:sz w:val="20"/>
      <w:szCs w:val="20"/>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733DAC"/>
    <w:rPr>
      <w:b/>
      <w:bCs/>
    </w:rPr>
  </w:style>
  <w:style w:type="character" w:customStyle="1" w:styleId="OnderwerpvanopmerkingChar">
    <w:name w:val="Onderwerp van opmerking Char"/>
    <w:basedOn w:val="TekstopmerkingChar"/>
    <w:link w:val="Onderwerpvanopmerking"/>
    <w:uiPriority w:val="99"/>
    <w:semiHidden/>
    <w:rsid w:val="00733DAC"/>
    <w:rPr>
      <w:rFonts w:ascii="Arial" w:hAnsi="Arial"/>
      <w:b/>
      <w:bCs/>
      <w:sz w:val="20"/>
      <w:szCs w:val="20"/>
      <w:lang w:val="nl-NL" w:eastAsia="nl-NL" w:bidi="ar-SA"/>
    </w:rPr>
  </w:style>
  <w:style w:type="paragraph" w:styleId="Revisie">
    <w:name w:val="Revision"/>
    <w:hidden/>
    <w:uiPriority w:val="99"/>
    <w:semiHidden/>
    <w:rsid w:val="00340282"/>
    <w:pPr>
      <w:spacing w:after="0" w:line="240" w:lineRule="auto"/>
    </w:pPr>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D018-59EB-479C-9382-968BD4CC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1984</Words>
  <Characters>10915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Weijdt, Hans</dc:creator>
  <cp:keywords/>
  <dc:description/>
  <cp:lastModifiedBy>Baars, Eduard</cp:lastModifiedBy>
  <cp:revision>7</cp:revision>
  <dcterms:created xsi:type="dcterms:W3CDTF">2024-05-03T11:30:00Z</dcterms:created>
  <dcterms:modified xsi:type="dcterms:W3CDTF">2024-05-06T07:49:00Z</dcterms:modified>
</cp:coreProperties>
</file>