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3A" w:rsidRDefault="000816CE" w:rsidP="005229A9">
      <w:pPr>
        <w:pStyle w:val="bijlagen"/>
      </w:pPr>
    </w:p>
    <w:p w:rsidR="003253D7" w:rsidRDefault="003253D7" w:rsidP="005229A9">
      <w:pPr>
        <w:pStyle w:val="bijlagen"/>
      </w:pPr>
    </w:p>
    <w:p w:rsidR="0048136C" w:rsidRDefault="009F3298" w:rsidP="001449C1">
      <w:pPr>
        <w:pStyle w:val="bijlagen"/>
      </w:pPr>
      <w:bookmarkStart w:id="0" w:name="_GoBack"/>
      <w:bookmarkEnd w:id="0"/>
      <w:r w:rsidRPr="009F3298">
        <w:t>Bijlage 6</w:t>
      </w:r>
      <w:r w:rsidR="00232C16" w:rsidRPr="009F3298">
        <w:t xml:space="preserve"> </w:t>
      </w:r>
      <w:proofErr w:type="spellStart"/>
      <w:r w:rsidR="00232C16" w:rsidRPr="009F3298">
        <w:t>S</w:t>
      </w:r>
      <w:r w:rsidR="00232C16">
        <w:t>ocial</w:t>
      </w:r>
      <w:proofErr w:type="spellEnd"/>
      <w:r w:rsidR="00232C16">
        <w:t xml:space="preserve"> Return verplichting</w:t>
      </w:r>
    </w:p>
    <w:p w:rsidR="0048136C" w:rsidRDefault="00232C16" w:rsidP="002F2141">
      <w:pPr>
        <w:pStyle w:val="kop12Bold"/>
      </w:pPr>
      <w:r>
        <w:t xml:space="preserve">Definities Social Return </w:t>
      </w:r>
    </w:p>
    <w:p w:rsidR="0048136C" w:rsidRDefault="00232C16" w:rsidP="00FB7875">
      <w:r>
        <w:t>Social Return houdt in dat een percentage van de ingediende aanneemsom door de</w:t>
      </w:r>
    </w:p>
    <w:p w:rsidR="0048136C" w:rsidRDefault="00232C16" w:rsidP="00FB7875">
      <w:r>
        <w:t>Opdrachtnemer wordt geïnvesteerd in werkgelegenheid voor werkzoekenden  die (vaak) een afstand tot de arbeidsmarkt hebben, hierna te noemen Social Return-medewerker(s).</w:t>
      </w:r>
    </w:p>
    <w:p w:rsidR="0048136C" w:rsidRDefault="000816CE" w:rsidP="0048136C"/>
    <w:p w:rsidR="0048136C" w:rsidRDefault="00232C16" w:rsidP="002F2141">
      <w:pPr>
        <w:pStyle w:val="kop12Bold"/>
      </w:pPr>
      <w:r>
        <w:t>Doelgroepomschrijving</w:t>
      </w:r>
    </w:p>
    <w:p w:rsidR="0048136C" w:rsidRDefault="00232C16" w:rsidP="00FB7875">
      <w:pPr>
        <w:pStyle w:val="Lijstalinea"/>
        <w:numPr>
          <w:ilvl w:val="0"/>
          <w:numId w:val="2"/>
        </w:numPr>
      </w:pPr>
      <w:r>
        <w:t>Personen die recht hebben op ondersteuning bij arbeidsinschakeling op basis van de</w:t>
      </w:r>
    </w:p>
    <w:p w:rsidR="0048136C" w:rsidRDefault="00232C16" w:rsidP="00FB7875">
      <w:pPr>
        <w:pStyle w:val="Lijstalinea"/>
        <w:numPr>
          <w:ilvl w:val="0"/>
          <w:numId w:val="2"/>
        </w:numPr>
      </w:pPr>
      <w:r>
        <w:t xml:space="preserve">Participatiewet, IOAW en IOAZ; </w:t>
      </w:r>
    </w:p>
    <w:p w:rsidR="0048136C" w:rsidRDefault="00232C16" w:rsidP="00FB7875">
      <w:pPr>
        <w:pStyle w:val="Lijstalinea"/>
        <w:numPr>
          <w:ilvl w:val="0"/>
          <w:numId w:val="2"/>
        </w:numPr>
      </w:pPr>
      <w:r>
        <w:t>WW (die 1 jaar of langer een WW-uitkering ontvangen);</w:t>
      </w:r>
    </w:p>
    <w:p w:rsidR="0048136C" w:rsidRDefault="00232C16" w:rsidP="00FB7875">
      <w:pPr>
        <w:pStyle w:val="Lijstalinea"/>
        <w:numPr>
          <w:ilvl w:val="0"/>
          <w:numId w:val="2"/>
        </w:numPr>
      </w:pPr>
      <w:r>
        <w:t>Arbeidsbeperkten opgenomen in het doelgroepenregister van het Uwv, voor zover niet al vallend onder de Participatiewet;</w:t>
      </w:r>
    </w:p>
    <w:p w:rsidR="0048136C" w:rsidRDefault="00232C16" w:rsidP="00FB7875">
      <w:pPr>
        <w:pStyle w:val="Lijstalinea"/>
        <w:numPr>
          <w:ilvl w:val="0"/>
          <w:numId w:val="2"/>
        </w:numPr>
      </w:pPr>
      <w:r>
        <w:t>BBL-stagiaires.</w:t>
      </w:r>
    </w:p>
    <w:p w:rsidR="0048136C" w:rsidRDefault="000816CE" w:rsidP="00FB7875"/>
    <w:p w:rsidR="0048136C" w:rsidRDefault="00232C16" w:rsidP="00FB7875">
      <w:r>
        <w:t>Inschrijver verklaart invulling te geven aan de Social Return-vereisten. Voor invulling gelden de volgende spelregels:</w:t>
      </w:r>
    </w:p>
    <w:p w:rsidR="0048136C" w:rsidRDefault="000816CE" w:rsidP="0048136C"/>
    <w:p w:rsidR="0048136C" w:rsidRDefault="00232C16" w:rsidP="002F2141">
      <w:pPr>
        <w:pStyle w:val="kop12Bold"/>
      </w:pPr>
      <w:r>
        <w:t>Begeleiding doelgroep</w:t>
      </w:r>
    </w:p>
    <w:p w:rsidR="0048136C" w:rsidRDefault="00232C16" w:rsidP="00FB7875">
      <w:r>
        <w:t>De Opdrachtnemer is verantwoordelijk voor de begeleiding van de Social Return-medewerker. Voor de invulling hiervan kunt u ervoor kiezen de Social Return-medewerker, niet zijnde een WSW-er, zelf te begeleiden of deze begeleiding in te kopen bij een re-integratiebedrijf. Indien u voor het invullen van de Social Return-verplichting een WSW-er inzet dient u voor de begeleiding een erkend SW-bedrijf in te schakelen.</w:t>
      </w:r>
    </w:p>
    <w:p w:rsidR="0048136C" w:rsidRDefault="000816CE" w:rsidP="00FB7875"/>
    <w:p w:rsidR="0048136C" w:rsidRDefault="00232C16" w:rsidP="002F2141">
      <w:pPr>
        <w:pStyle w:val="kop12Bold"/>
      </w:pPr>
      <w:r>
        <w:t>Realisatie</w:t>
      </w:r>
    </w:p>
    <w:p w:rsidR="0048136C" w:rsidRDefault="00232C16" w:rsidP="00FB7875">
      <w:pPr>
        <w:pStyle w:val="Lijstalinea"/>
        <w:numPr>
          <w:ilvl w:val="0"/>
          <w:numId w:val="3"/>
        </w:numPr>
        <w:ind w:left="360"/>
      </w:pPr>
      <w:r>
        <w:t xml:space="preserve">Opdrachtnemer geeft invulling aan de Social Return-paragraaf zoals beschreven in de    </w:t>
      </w:r>
    </w:p>
    <w:p w:rsidR="0048136C" w:rsidRDefault="009F3298" w:rsidP="00FB7875">
      <w:pPr>
        <w:pStyle w:val="Lijstalinea"/>
        <w:numPr>
          <w:ilvl w:val="0"/>
          <w:numId w:val="3"/>
        </w:numPr>
        <w:ind w:left="360"/>
      </w:pPr>
      <w:r>
        <w:t>Selectieleidraad ten behoeve van werken</w:t>
      </w:r>
      <w:r w:rsidR="00232C16">
        <w:t xml:space="preserve"> </w:t>
      </w:r>
      <w:r>
        <w:t>Park Vredenburgh</w:t>
      </w:r>
      <w:r w:rsidR="00232C16">
        <w:t xml:space="preserve">. </w:t>
      </w:r>
    </w:p>
    <w:p w:rsidR="0048136C" w:rsidRDefault="000816CE" w:rsidP="00FB7875"/>
    <w:p w:rsidR="0048136C" w:rsidRDefault="00232C16" w:rsidP="00FB7875">
      <w:pPr>
        <w:pStyle w:val="Lijstalinea"/>
        <w:numPr>
          <w:ilvl w:val="0"/>
          <w:numId w:val="3"/>
        </w:numPr>
        <w:ind w:left="360"/>
      </w:pPr>
      <w:r>
        <w:t xml:space="preserve">Periodiek wordt de voortgang van de Social Return-verplichting besproken in bouwvergaderingen. Daarnaast dient Opdrachtnemer de voortgang van de Social return-verplichting aan Opdrachtgever te rapporteren volgens het format van Opdrachtgever of gelijkwaardig. </w:t>
      </w:r>
    </w:p>
    <w:p w:rsidR="0048136C" w:rsidRDefault="000816CE" w:rsidP="00FB7875"/>
    <w:p w:rsidR="0048136C" w:rsidRDefault="00232C16" w:rsidP="00FB7875">
      <w:pPr>
        <w:pStyle w:val="Lijstalinea"/>
        <w:numPr>
          <w:ilvl w:val="0"/>
          <w:numId w:val="3"/>
        </w:numPr>
        <w:ind w:left="360"/>
      </w:pPr>
      <w:r>
        <w:t>Opdrachtnemer neemt het initiatief voor het uitnodigen van Opdrachtgever bij bouwvergaderingen waarbij de voortgang van de Social Return-verplichting wordt besproken.</w:t>
      </w:r>
    </w:p>
    <w:p w:rsidR="0048136C" w:rsidRDefault="000816CE" w:rsidP="00FB7875"/>
    <w:p w:rsidR="0048136C" w:rsidRDefault="00232C16" w:rsidP="00FB7875">
      <w:pPr>
        <w:pStyle w:val="Lijstalinea"/>
        <w:numPr>
          <w:ilvl w:val="0"/>
          <w:numId w:val="3"/>
        </w:numPr>
        <w:ind w:left="360"/>
      </w:pPr>
      <w:r>
        <w:t>Na definitieve gunning dient de inschrijver binnen 5 kalenderdagen ter goedkeuring een plan van aanpak aan Opdrachtgever voor te leggen via socialreturn@</w:t>
      </w:r>
      <w:r w:rsidR="009F3298">
        <w:t>Waddinxveen</w:t>
      </w:r>
      <w:r>
        <w:t>.nl. Het plan van aanpak beschrijft minimaal hoe u invulling geeft aan uw Social Return-verplichting (aantal in te zetten uren per week, periode, wijze van begeleiding, functies en eventueel opleidingsplan).</w:t>
      </w:r>
    </w:p>
    <w:p w:rsidR="0048136C" w:rsidRDefault="000816CE" w:rsidP="00FB7875"/>
    <w:p w:rsidR="0048136C" w:rsidRDefault="00232C16" w:rsidP="00FB7875">
      <w:pPr>
        <w:pStyle w:val="Lijstalinea"/>
        <w:numPr>
          <w:ilvl w:val="0"/>
          <w:numId w:val="3"/>
        </w:numPr>
        <w:ind w:left="360"/>
      </w:pPr>
      <w:r>
        <w:t xml:space="preserve">Opdrachtnemer is verantwoordelijk voor het tijdig werven en selecteren van geschikte kandidaten. </w:t>
      </w:r>
    </w:p>
    <w:p w:rsidR="0048136C" w:rsidRDefault="000816CE" w:rsidP="00FB7875"/>
    <w:p w:rsidR="0048136C" w:rsidRDefault="00232C16" w:rsidP="00FB7875">
      <w:pPr>
        <w:pStyle w:val="Lijstalinea"/>
        <w:numPr>
          <w:ilvl w:val="0"/>
          <w:numId w:val="3"/>
        </w:numPr>
        <w:ind w:left="360"/>
      </w:pPr>
      <w:r>
        <w:t>Indien de Opdrachtnemer werkt met onderaannemers blijft de Opdrachtnemer hoofdelijk aansprakelijk voor het realiseren van deze Social Return-verplichting.</w:t>
      </w:r>
    </w:p>
    <w:p w:rsidR="0048136C" w:rsidRDefault="000816CE" w:rsidP="00FB7875"/>
    <w:p w:rsidR="0048136C" w:rsidRDefault="00232C16" w:rsidP="00FB7875">
      <w:pPr>
        <w:pStyle w:val="Lijstalinea"/>
        <w:numPr>
          <w:ilvl w:val="0"/>
          <w:numId w:val="3"/>
        </w:numPr>
        <w:ind w:left="360"/>
      </w:pPr>
      <w:r>
        <w:t xml:space="preserve">Indien het realiseren van de Social Return-verplichting niet volledig mogelijk is binnen het project, is het Opdrachtnemer toegestaan het gecontracteerde Social Return-percentage te realiseren op andere projecten van Opdrachtnemer. Opdrachtnemer zal vooraf de wijze van invulling ter goedkeuring voorleggen aan gemeente </w:t>
      </w:r>
      <w:r w:rsidR="009F3298">
        <w:t>Waddinxveen</w:t>
      </w:r>
      <w:r>
        <w:t>.</w:t>
      </w:r>
    </w:p>
    <w:p w:rsidR="0048136C" w:rsidRDefault="000816CE" w:rsidP="00FB7875"/>
    <w:p w:rsidR="0048136C" w:rsidRDefault="00232C16" w:rsidP="00FB7875">
      <w:pPr>
        <w:pStyle w:val="Lijstalinea"/>
        <w:numPr>
          <w:ilvl w:val="0"/>
          <w:numId w:val="3"/>
        </w:numPr>
        <w:ind w:left="360"/>
      </w:pPr>
      <w:r>
        <w:lastRenderedPageBreak/>
        <w:t xml:space="preserve">Op verzoek van Opdrachtgever overlegt Opdrachtnemer voor monitoring van de Social Return-realisatie, kosteloos alle informatie, dan wel een afschrift van, een individueel personeelsdossier welke relevant is voor realisatie van Social Return (bewijsstukken). Per Social Return-medewerker een kopie van de arbeidsovereenkomst, de eerste loonstrook en tegen het einde van de opdracht een cumulatieve loonstrook. Aan het einde van de opdracht ondertekent Opdrachtnemer het eindverantwoordingsdocument op basis waarvan de gerealiseerde Social Return-waarde wordt vastgesteld. Na controle / goedkeuring door de gemeente </w:t>
      </w:r>
      <w:r w:rsidR="009F3298">
        <w:t>Waddinxveen</w:t>
      </w:r>
      <w:r>
        <w:t xml:space="preserve"> zal de definitieve invulling van de Social Return-waarde door de gemeente </w:t>
      </w:r>
      <w:r w:rsidR="009F3298">
        <w:t>Waddinxveen</w:t>
      </w:r>
      <w:r>
        <w:t xml:space="preserve"> per brief worden bevestigd aan Opdrachtnemer.</w:t>
      </w:r>
    </w:p>
    <w:p w:rsidR="0048136C" w:rsidRDefault="000816CE" w:rsidP="00FB7875"/>
    <w:p w:rsidR="0048136C" w:rsidRDefault="00232C16" w:rsidP="00FB7875">
      <w:pPr>
        <w:pStyle w:val="Lijstalinea"/>
        <w:numPr>
          <w:ilvl w:val="0"/>
          <w:numId w:val="3"/>
        </w:numPr>
        <w:ind w:left="360"/>
      </w:pPr>
      <w:r>
        <w:t>Indien het saldo van het meer- en minderwerk kleiner  is dan 15% van de opdrachtwaarde leidt dit tot niet een aanpassing  van de Social Return-verplichting.</w:t>
      </w:r>
    </w:p>
    <w:p w:rsidR="0048136C" w:rsidRDefault="000816CE" w:rsidP="00FB7875"/>
    <w:p w:rsidR="0048136C" w:rsidRDefault="00232C16" w:rsidP="00FB7875">
      <w:pPr>
        <w:pStyle w:val="Lijstalinea"/>
        <w:numPr>
          <w:ilvl w:val="0"/>
          <w:numId w:val="3"/>
        </w:numPr>
        <w:ind w:left="360"/>
      </w:pPr>
      <w:r>
        <w:t xml:space="preserve">Indien Opdrachtnemer de invulling van zijn Social Return-verplichting niet of niet volledig nakomt, is Opdrachtnemer een bedrag ter hoogte van de niet-gerealiseerde inzet verschuldigd aan Opdrachtgever. Gemeente </w:t>
      </w:r>
      <w:r w:rsidR="009F3298">
        <w:t>Waddinxveen</w:t>
      </w:r>
      <w:r>
        <w:t xml:space="preserve"> zal dit bedrag in het voorkomende geval in rekening brengen bij Opdrachtnemer. </w:t>
      </w:r>
    </w:p>
    <w:p w:rsidR="0048136C" w:rsidRDefault="000816CE" w:rsidP="00FB7875"/>
    <w:p w:rsidR="0048136C" w:rsidRDefault="00232C16" w:rsidP="00FB7875">
      <w:pPr>
        <w:pStyle w:val="Lijstalinea"/>
        <w:numPr>
          <w:ilvl w:val="0"/>
          <w:numId w:val="3"/>
        </w:numPr>
        <w:ind w:left="360"/>
      </w:pPr>
      <w:r>
        <w:t>In verband met de afhandeling van Social Return wordt u verzocht de contactgegevens op te geven van de voor Social Return verantwoordelijke medewerker in onderstaande tabel:</w:t>
      </w:r>
    </w:p>
    <w:p w:rsidR="002F2141" w:rsidRDefault="000816CE" w:rsidP="00FB7875"/>
    <w:tbl>
      <w:tblPr>
        <w:tblStyle w:val="Tabelraster"/>
        <w:tblW w:w="0" w:type="auto"/>
        <w:tblLook w:val="04A0" w:firstRow="1" w:lastRow="0" w:firstColumn="1" w:lastColumn="0" w:noHBand="0" w:noVBand="1"/>
      </w:tblPr>
      <w:tblGrid>
        <w:gridCol w:w="4390"/>
        <w:gridCol w:w="383"/>
        <w:gridCol w:w="4436"/>
      </w:tblGrid>
      <w:tr w:rsidR="00984718" w:rsidTr="001473E3">
        <w:tc>
          <w:tcPr>
            <w:tcW w:w="4390" w:type="dxa"/>
          </w:tcPr>
          <w:p w:rsidR="002F2141" w:rsidRPr="00F911B6" w:rsidRDefault="00232C16" w:rsidP="001473E3">
            <w:r w:rsidRPr="00F911B6">
              <w:t>Contactpersoon Social Return Opdrachtnemer</w:t>
            </w:r>
          </w:p>
        </w:tc>
        <w:tc>
          <w:tcPr>
            <w:tcW w:w="383" w:type="dxa"/>
          </w:tcPr>
          <w:p w:rsidR="002F2141" w:rsidRPr="00F911B6" w:rsidRDefault="00232C16" w:rsidP="001473E3">
            <w:r w:rsidRPr="00F911B6">
              <w:t>:</w:t>
            </w:r>
          </w:p>
        </w:tc>
        <w:tc>
          <w:tcPr>
            <w:tcW w:w="4436" w:type="dxa"/>
          </w:tcPr>
          <w:p w:rsidR="002F2141" w:rsidRPr="00F911B6" w:rsidRDefault="000816CE" w:rsidP="001473E3"/>
        </w:tc>
      </w:tr>
      <w:tr w:rsidR="00984718" w:rsidTr="001473E3">
        <w:tc>
          <w:tcPr>
            <w:tcW w:w="4390" w:type="dxa"/>
          </w:tcPr>
          <w:p w:rsidR="002F2141" w:rsidRPr="00F911B6" w:rsidRDefault="00232C16" w:rsidP="001473E3">
            <w:r w:rsidRPr="00F911B6">
              <w:t>Telefoonnummer contactpersoon</w:t>
            </w:r>
          </w:p>
        </w:tc>
        <w:tc>
          <w:tcPr>
            <w:tcW w:w="383" w:type="dxa"/>
          </w:tcPr>
          <w:p w:rsidR="002F2141" w:rsidRPr="00F911B6" w:rsidRDefault="00232C16" w:rsidP="001473E3">
            <w:r w:rsidRPr="00F911B6">
              <w:t>:</w:t>
            </w:r>
          </w:p>
        </w:tc>
        <w:tc>
          <w:tcPr>
            <w:tcW w:w="4436" w:type="dxa"/>
          </w:tcPr>
          <w:p w:rsidR="002F2141" w:rsidRPr="00F911B6" w:rsidRDefault="000816CE" w:rsidP="001473E3"/>
        </w:tc>
      </w:tr>
      <w:tr w:rsidR="00984718" w:rsidTr="001473E3">
        <w:tc>
          <w:tcPr>
            <w:tcW w:w="4390" w:type="dxa"/>
          </w:tcPr>
          <w:p w:rsidR="002F2141" w:rsidRPr="00F911B6" w:rsidRDefault="00232C16" w:rsidP="001473E3">
            <w:r w:rsidRPr="00F911B6">
              <w:t>E-mail contactpersoon</w:t>
            </w:r>
          </w:p>
        </w:tc>
        <w:tc>
          <w:tcPr>
            <w:tcW w:w="383" w:type="dxa"/>
          </w:tcPr>
          <w:p w:rsidR="002F2141" w:rsidRPr="00F911B6" w:rsidRDefault="00232C16" w:rsidP="001473E3">
            <w:r w:rsidRPr="00F911B6">
              <w:t>:</w:t>
            </w:r>
          </w:p>
        </w:tc>
        <w:tc>
          <w:tcPr>
            <w:tcW w:w="4436" w:type="dxa"/>
          </w:tcPr>
          <w:p w:rsidR="002F2141" w:rsidRPr="00F911B6" w:rsidRDefault="000816CE" w:rsidP="001473E3"/>
        </w:tc>
      </w:tr>
    </w:tbl>
    <w:p w:rsidR="0048136C" w:rsidRDefault="000816CE" w:rsidP="0048136C"/>
    <w:sectPr w:rsidR="0048136C" w:rsidSect="00451AF9">
      <w:headerReference w:type="first" r:id="rId7"/>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9B" w:rsidRDefault="00232C16">
      <w:r>
        <w:separator/>
      </w:r>
    </w:p>
  </w:endnote>
  <w:endnote w:type="continuationSeparator" w:id="0">
    <w:p w:rsidR="004F0C9B" w:rsidRDefault="0023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9B" w:rsidRDefault="00232C16">
      <w:r>
        <w:separator/>
      </w:r>
    </w:p>
  </w:footnote>
  <w:footnote w:type="continuationSeparator" w:id="0">
    <w:p w:rsidR="004F0C9B" w:rsidRDefault="0023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9F3298">
    <w:pPr>
      <w:pStyle w:val="Koptekst"/>
    </w:pPr>
    <w:r w:rsidRPr="00E65209">
      <w:rPr>
        <w:noProof/>
        <w:color w:val="00B0F0"/>
        <w:lang w:eastAsia="nl-NL"/>
      </w:rPr>
      <w:drawing>
        <wp:anchor distT="0" distB="0" distL="114300" distR="114300" simplePos="0" relativeHeight="251659264" behindDoc="1" locked="1" layoutInCell="1" allowOverlap="0" wp14:anchorId="1CB82ABC" wp14:editId="604C3AA6">
          <wp:simplePos x="0" y="0"/>
          <wp:positionH relativeFrom="page">
            <wp:align>right</wp:align>
          </wp:positionH>
          <wp:positionV relativeFrom="page">
            <wp:posOffset>5080</wp:posOffset>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F2E03C14">
      <w:start w:val="1"/>
      <w:numFmt w:val="decimal"/>
      <w:pStyle w:val="Lijstalinea"/>
      <w:lvlText w:val="%1."/>
      <w:lvlJc w:val="left"/>
      <w:pPr>
        <w:ind w:left="360" w:hanging="360"/>
      </w:pPr>
      <w:rPr>
        <w:rFonts w:hint="default"/>
      </w:rPr>
    </w:lvl>
    <w:lvl w:ilvl="1" w:tplc="338E1610">
      <w:start w:val="1"/>
      <w:numFmt w:val="lowerLetter"/>
      <w:lvlText w:val="%2."/>
      <w:lvlJc w:val="left"/>
      <w:pPr>
        <w:ind w:left="1440" w:hanging="360"/>
      </w:pPr>
    </w:lvl>
    <w:lvl w:ilvl="2" w:tplc="E11A4D5E" w:tentative="1">
      <w:start w:val="1"/>
      <w:numFmt w:val="lowerRoman"/>
      <w:lvlText w:val="%3."/>
      <w:lvlJc w:val="right"/>
      <w:pPr>
        <w:ind w:left="2160" w:hanging="180"/>
      </w:pPr>
    </w:lvl>
    <w:lvl w:ilvl="3" w:tplc="8F52C0A4" w:tentative="1">
      <w:start w:val="1"/>
      <w:numFmt w:val="decimal"/>
      <w:lvlText w:val="%4."/>
      <w:lvlJc w:val="left"/>
      <w:pPr>
        <w:ind w:left="2880" w:hanging="360"/>
      </w:pPr>
    </w:lvl>
    <w:lvl w:ilvl="4" w:tplc="0C44D1C0" w:tentative="1">
      <w:start w:val="1"/>
      <w:numFmt w:val="lowerLetter"/>
      <w:lvlText w:val="%5."/>
      <w:lvlJc w:val="left"/>
      <w:pPr>
        <w:ind w:left="3600" w:hanging="360"/>
      </w:pPr>
    </w:lvl>
    <w:lvl w:ilvl="5" w:tplc="36B63976" w:tentative="1">
      <w:start w:val="1"/>
      <w:numFmt w:val="lowerRoman"/>
      <w:lvlText w:val="%6."/>
      <w:lvlJc w:val="right"/>
      <w:pPr>
        <w:ind w:left="4320" w:hanging="180"/>
      </w:pPr>
    </w:lvl>
    <w:lvl w:ilvl="6" w:tplc="F17832DA" w:tentative="1">
      <w:start w:val="1"/>
      <w:numFmt w:val="decimal"/>
      <w:lvlText w:val="%7."/>
      <w:lvlJc w:val="left"/>
      <w:pPr>
        <w:ind w:left="5040" w:hanging="360"/>
      </w:pPr>
    </w:lvl>
    <w:lvl w:ilvl="7" w:tplc="5FDCD664" w:tentative="1">
      <w:start w:val="1"/>
      <w:numFmt w:val="lowerLetter"/>
      <w:lvlText w:val="%8."/>
      <w:lvlJc w:val="left"/>
      <w:pPr>
        <w:ind w:left="5760" w:hanging="360"/>
      </w:pPr>
    </w:lvl>
    <w:lvl w:ilvl="8" w:tplc="6B16B11A" w:tentative="1">
      <w:start w:val="1"/>
      <w:numFmt w:val="lowerRoman"/>
      <w:lvlText w:val="%9."/>
      <w:lvlJc w:val="right"/>
      <w:pPr>
        <w:ind w:left="6480" w:hanging="180"/>
      </w:pPr>
    </w:lvl>
  </w:abstractNum>
  <w:abstractNum w:abstractNumId="1" w15:restartNumberingAfterBreak="0">
    <w:nsid w:val="00000002"/>
    <w:multiLevelType w:val="hybridMultilevel"/>
    <w:tmpl w:val="BD7E3D58"/>
    <w:lvl w:ilvl="0" w:tplc="CF488F70">
      <w:start w:val="1"/>
      <w:numFmt w:val="bullet"/>
      <w:lvlText w:val=""/>
      <w:lvlJc w:val="left"/>
      <w:pPr>
        <w:ind w:left="360" w:hanging="360"/>
      </w:pPr>
      <w:rPr>
        <w:rFonts w:ascii="Symbol" w:hAnsi="Symbol" w:hint="default"/>
      </w:rPr>
    </w:lvl>
    <w:lvl w:ilvl="1" w:tplc="506CA29E" w:tentative="1">
      <w:start w:val="1"/>
      <w:numFmt w:val="bullet"/>
      <w:lvlText w:val="o"/>
      <w:lvlJc w:val="left"/>
      <w:pPr>
        <w:ind w:left="1080" w:hanging="360"/>
      </w:pPr>
      <w:rPr>
        <w:rFonts w:ascii="Courier New" w:hAnsi="Courier New" w:cs="Courier New" w:hint="default"/>
      </w:rPr>
    </w:lvl>
    <w:lvl w:ilvl="2" w:tplc="FFB2DC70" w:tentative="1">
      <w:start w:val="1"/>
      <w:numFmt w:val="bullet"/>
      <w:lvlText w:val=""/>
      <w:lvlJc w:val="left"/>
      <w:pPr>
        <w:ind w:left="1800" w:hanging="360"/>
      </w:pPr>
      <w:rPr>
        <w:rFonts w:ascii="Wingdings" w:hAnsi="Wingdings" w:hint="default"/>
      </w:rPr>
    </w:lvl>
    <w:lvl w:ilvl="3" w:tplc="4EE2A72A" w:tentative="1">
      <w:start w:val="1"/>
      <w:numFmt w:val="bullet"/>
      <w:lvlText w:val=""/>
      <w:lvlJc w:val="left"/>
      <w:pPr>
        <w:ind w:left="2520" w:hanging="360"/>
      </w:pPr>
      <w:rPr>
        <w:rFonts w:ascii="Symbol" w:hAnsi="Symbol" w:hint="default"/>
      </w:rPr>
    </w:lvl>
    <w:lvl w:ilvl="4" w:tplc="8F4CFB9C" w:tentative="1">
      <w:start w:val="1"/>
      <w:numFmt w:val="bullet"/>
      <w:lvlText w:val="o"/>
      <w:lvlJc w:val="left"/>
      <w:pPr>
        <w:ind w:left="3240" w:hanging="360"/>
      </w:pPr>
      <w:rPr>
        <w:rFonts w:ascii="Courier New" w:hAnsi="Courier New" w:cs="Courier New" w:hint="default"/>
      </w:rPr>
    </w:lvl>
    <w:lvl w:ilvl="5" w:tplc="4B22CF5E" w:tentative="1">
      <w:start w:val="1"/>
      <w:numFmt w:val="bullet"/>
      <w:lvlText w:val=""/>
      <w:lvlJc w:val="left"/>
      <w:pPr>
        <w:ind w:left="3960" w:hanging="360"/>
      </w:pPr>
      <w:rPr>
        <w:rFonts w:ascii="Wingdings" w:hAnsi="Wingdings" w:hint="default"/>
      </w:rPr>
    </w:lvl>
    <w:lvl w:ilvl="6" w:tplc="06A68530" w:tentative="1">
      <w:start w:val="1"/>
      <w:numFmt w:val="bullet"/>
      <w:lvlText w:val=""/>
      <w:lvlJc w:val="left"/>
      <w:pPr>
        <w:ind w:left="4680" w:hanging="360"/>
      </w:pPr>
      <w:rPr>
        <w:rFonts w:ascii="Symbol" w:hAnsi="Symbol" w:hint="default"/>
      </w:rPr>
    </w:lvl>
    <w:lvl w:ilvl="7" w:tplc="0988E33C" w:tentative="1">
      <w:start w:val="1"/>
      <w:numFmt w:val="bullet"/>
      <w:lvlText w:val="o"/>
      <w:lvlJc w:val="left"/>
      <w:pPr>
        <w:ind w:left="5400" w:hanging="360"/>
      </w:pPr>
      <w:rPr>
        <w:rFonts w:ascii="Courier New" w:hAnsi="Courier New" w:cs="Courier New" w:hint="default"/>
      </w:rPr>
    </w:lvl>
    <w:lvl w:ilvl="8" w:tplc="FA2289D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3A702F60"/>
    <w:lvl w:ilvl="0" w:tplc="F232220C">
      <w:start w:val="1"/>
      <w:numFmt w:val="lowerLetter"/>
      <w:lvlText w:val="%1."/>
      <w:lvlJc w:val="left"/>
      <w:pPr>
        <w:ind w:left="720" w:hanging="360"/>
      </w:pPr>
    </w:lvl>
    <w:lvl w:ilvl="1" w:tplc="920EC7F2" w:tentative="1">
      <w:start w:val="1"/>
      <w:numFmt w:val="lowerLetter"/>
      <w:lvlText w:val="%2."/>
      <w:lvlJc w:val="left"/>
      <w:pPr>
        <w:ind w:left="1440" w:hanging="360"/>
      </w:pPr>
    </w:lvl>
    <w:lvl w:ilvl="2" w:tplc="01E2926A" w:tentative="1">
      <w:start w:val="1"/>
      <w:numFmt w:val="lowerRoman"/>
      <w:lvlText w:val="%3."/>
      <w:lvlJc w:val="right"/>
      <w:pPr>
        <w:ind w:left="2160" w:hanging="180"/>
      </w:pPr>
    </w:lvl>
    <w:lvl w:ilvl="3" w:tplc="8CF2C09E" w:tentative="1">
      <w:start w:val="1"/>
      <w:numFmt w:val="decimal"/>
      <w:lvlText w:val="%4."/>
      <w:lvlJc w:val="left"/>
      <w:pPr>
        <w:ind w:left="2880" w:hanging="360"/>
      </w:pPr>
    </w:lvl>
    <w:lvl w:ilvl="4" w:tplc="026C3428" w:tentative="1">
      <w:start w:val="1"/>
      <w:numFmt w:val="lowerLetter"/>
      <w:lvlText w:val="%5."/>
      <w:lvlJc w:val="left"/>
      <w:pPr>
        <w:ind w:left="3600" w:hanging="360"/>
      </w:pPr>
    </w:lvl>
    <w:lvl w:ilvl="5" w:tplc="5FB2B174" w:tentative="1">
      <w:start w:val="1"/>
      <w:numFmt w:val="lowerRoman"/>
      <w:lvlText w:val="%6."/>
      <w:lvlJc w:val="right"/>
      <w:pPr>
        <w:ind w:left="4320" w:hanging="180"/>
      </w:pPr>
    </w:lvl>
    <w:lvl w:ilvl="6" w:tplc="65DE7F4E" w:tentative="1">
      <w:start w:val="1"/>
      <w:numFmt w:val="decimal"/>
      <w:lvlText w:val="%7."/>
      <w:lvlJc w:val="left"/>
      <w:pPr>
        <w:ind w:left="5040" w:hanging="360"/>
      </w:pPr>
    </w:lvl>
    <w:lvl w:ilvl="7" w:tplc="6068E64C" w:tentative="1">
      <w:start w:val="1"/>
      <w:numFmt w:val="lowerLetter"/>
      <w:lvlText w:val="%8."/>
      <w:lvlJc w:val="left"/>
      <w:pPr>
        <w:ind w:left="5760" w:hanging="360"/>
      </w:pPr>
    </w:lvl>
    <w:lvl w:ilvl="8" w:tplc="890C3CEE"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18"/>
    <w:rsid w:val="000816CE"/>
    <w:rsid w:val="00232C16"/>
    <w:rsid w:val="003253D7"/>
    <w:rsid w:val="004F0C9B"/>
    <w:rsid w:val="006F4789"/>
    <w:rsid w:val="00984718"/>
    <w:rsid w:val="009F3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99FE"/>
  <w15:docId w15:val="{B0908B6B-E450-4207-B9D0-ADF326CE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7B3D22AEA2D47913508B81B54B99F" ma:contentTypeVersion="20" ma:contentTypeDescription="Een nieuw document maken." ma:contentTypeScope="" ma:versionID="ef70da04dc2826180402dcc1f079555e">
  <xsd:schema xmlns:xsd="http://www.w3.org/2001/XMLSchema" xmlns:xs="http://www.w3.org/2001/XMLSchema" xmlns:p="http://schemas.microsoft.com/office/2006/metadata/properties" xmlns:ns2="45f6ce90-ba85-4ef2-b43f-c64448cd95eb" xmlns:ns3="7e170216-d6a3-47db-8c97-3a1ee43dd5c6" xmlns:ns4="606a168e-b825-4b9d-a2b9-396b27fa3e1b" targetNamespace="http://schemas.microsoft.com/office/2006/metadata/properties" ma:root="true" ma:fieldsID="407961685bb68cbbd6d1b574276a4ce7" ns2:_="" ns3:_="" ns4:_="">
    <xsd:import namespace="45f6ce90-ba85-4ef2-b43f-c64448cd95eb"/>
    <xsd:import namespace="7e170216-d6a3-47db-8c97-3a1ee43dd5c6"/>
    <xsd:import namespace="606a168e-b825-4b9d-a2b9-396b27fa3e1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3:MediaServiceDateTaken" minOccurs="0"/>
                <xsd:element ref="ns3:MediaServiceLocation" minOccurs="0"/>
                <xsd:element ref="ns3:MediaServiceOCR" minOccurs="0"/>
                <xsd:element ref="ns3:MediaServiceAutoKeyPoints" minOccurs="0"/>
                <xsd:element ref="ns3:MediaServiceKeyPoints" minOccurs="0"/>
                <xsd:element ref="ns4: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170216-d6a3-47db-8c97-3a1ee43dd5c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a168e-b825-4b9d-a2b9-396b27fa3e1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12b804-5fce-4715-8b51-614d2b11908a}" ma:internalName="TaxCatchAll" ma:showField="CatchAllData" ma:web="606a168e-b825-4b9d-a2b9-396b27fa3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C9833-29E9-4C13-8502-F53EA59D3A1B}"/>
</file>

<file path=customXml/itemProps2.xml><?xml version="1.0" encoding="utf-8"?>
<ds:datastoreItem xmlns:ds="http://schemas.openxmlformats.org/officeDocument/2006/customXml" ds:itemID="{322C3CDB-BE6E-43F2-9952-F6CECF73A6D4}"/>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Baars, Eduard</dc:creator>
  <cp:lastModifiedBy>Ron Siegel</cp:lastModifiedBy>
  <cp:revision>5</cp:revision>
  <dcterms:created xsi:type="dcterms:W3CDTF">2023-02-17T09:44:00Z</dcterms:created>
  <dcterms:modified xsi:type="dcterms:W3CDTF">2024-01-11T10:26:00Z</dcterms:modified>
</cp:coreProperties>
</file>