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tabs>
          <w:tab w:val="left" w:leader="none" w:pos="1700.787401574803"/>
          <w:tab w:val="left" w:leader="none" w:pos="566.9291338582677"/>
        </w:tabs>
        <w:spacing w:after="0" w:before="0" w:line="480" w:lineRule="auto"/>
        <w:rPr>
          <w:rFonts w:ascii="Verdana" w:cs="Verdana" w:eastAsia="Verdana" w:hAnsi="Verdana"/>
          <w:color w:val="4f81bd"/>
          <w:sz w:val="28"/>
          <w:szCs w:val="28"/>
        </w:rPr>
      </w:pPr>
      <w:bookmarkStart w:colFirst="0" w:colLast="0" w:name="_2a4s0x7wh1sy" w:id="0"/>
      <w:bookmarkEnd w:id="0"/>
      <w:r w:rsidDel="00000000" w:rsidR="00000000" w:rsidRPr="00000000">
        <w:rPr>
          <w:rFonts w:ascii="Verdana" w:cs="Verdana" w:eastAsia="Verdana" w:hAnsi="Verdana"/>
          <w:color w:val="4f81bd"/>
          <w:sz w:val="28"/>
          <w:szCs w:val="28"/>
          <w:rtl w:val="0"/>
        </w:rPr>
        <w:t xml:space="preserve">Bijlage D:</w:t>
        <w:tab/>
        <w:t xml:space="preserve">Prijsmodel</w:t>
      </w:r>
    </w:p>
    <w:p w:rsidR="00000000" w:rsidDel="00000000" w:rsidP="00000000" w:rsidRDefault="00000000" w:rsidRPr="00000000" w14:paraId="00000002">
      <w:pPr>
        <w:tabs>
          <w:tab w:val="left" w:leader="none" w:pos="1700"/>
          <w:tab w:val="left" w:leader="none" w:pos="566"/>
        </w:tabs>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De inschrijver wordt verzocht ten aanzien van de op te leveren prijzen de lay-out van de opgevoerde tabel te hanteren. Daarnaast dient u de totaalprijs in Tenderned op te voeren. Alle prijzen dienen te worden opgevoerd in euro's en inclusief BTW. Genoemde aantallen zijn een indicatie over de gehele looptijd van de overeenkomst. De inschrijver kan hier geen rechten aan ontlenen. Facturering vindt plaats op basis van daadwerkelijke levering (ook van de diensten).</w:t>
      </w:r>
    </w:p>
    <w:p w:rsidR="00000000" w:rsidDel="00000000" w:rsidP="00000000" w:rsidRDefault="00000000" w:rsidRPr="00000000" w14:paraId="00000003">
      <w:pPr>
        <w:tabs>
          <w:tab w:val="left" w:leader="none" w:pos="1700"/>
          <w:tab w:val="left" w:leader="none" w:pos="566"/>
        </w:tabs>
        <w:spacing w:line="276" w:lineRule="auto"/>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04">
      <w:pPr>
        <w:spacing w:line="276"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De totale meerwaarde wordt bepaald door het resultaat van de items </w:t>
      </w:r>
      <w:r w:rsidDel="00000000" w:rsidR="00000000" w:rsidRPr="00000000">
        <w:rPr>
          <w:rFonts w:ascii="Verdana" w:cs="Verdana" w:eastAsia="Verdana" w:hAnsi="Verdana"/>
          <w:b w:val="1"/>
          <w:sz w:val="18"/>
          <w:szCs w:val="18"/>
          <w:rtl w:val="0"/>
        </w:rPr>
        <w:t xml:space="preserve">5.10</w:t>
      </w:r>
      <w:r w:rsidDel="00000000" w:rsidR="00000000" w:rsidRPr="00000000">
        <w:rPr>
          <w:rFonts w:ascii="Verdana" w:cs="Verdana" w:eastAsia="Verdana" w:hAnsi="Verdana"/>
          <w:sz w:val="18"/>
          <w:szCs w:val="18"/>
          <w:rtl w:val="0"/>
        </w:rPr>
        <w:t xml:space="preserve"> en </w:t>
      </w:r>
      <w:r w:rsidDel="00000000" w:rsidR="00000000" w:rsidRPr="00000000">
        <w:rPr>
          <w:rFonts w:ascii="Verdana" w:cs="Verdana" w:eastAsia="Verdana" w:hAnsi="Verdana"/>
          <w:b w:val="1"/>
          <w:sz w:val="18"/>
          <w:szCs w:val="18"/>
          <w:rtl w:val="0"/>
        </w:rPr>
        <w:t xml:space="preserve">5.11</w:t>
      </w:r>
      <w:r w:rsidDel="00000000" w:rsidR="00000000" w:rsidRPr="00000000">
        <w:rPr>
          <w:rFonts w:ascii="Verdana" w:cs="Verdana" w:eastAsia="Verdana" w:hAnsi="Verdana"/>
          <w:sz w:val="18"/>
          <w:szCs w:val="18"/>
          <w:rtl w:val="0"/>
        </w:rPr>
        <w:t xml:space="preserve"> bij elkaar op te tellen. De Evaluatieprijs (Ep) is de Prijs (P) minus de totale Meerwaarde (Mw t) in €. Als formule: </w:t>
      </w:r>
      <w:r w:rsidDel="00000000" w:rsidR="00000000" w:rsidRPr="00000000">
        <w:rPr>
          <w:rFonts w:ascii="Verdana" w:cs="Verdana" w:eastAsia="Verdana" w:hAnsi="Verdana"/>
          <w:b w:val="1"/>
          <w:sz w:val="18"/>
          <w:szCs w:val="18"/>
          <w:rtl w:val="0"/>
        </w:rPr>
        <w:t xml:space="preserve">Ep = P – Mw t. </w:t>
      </w:r>
      <w:r w:rsidDel="00000000" w:rsidR="00000000" w:rsidRPr="00000000">
        <w:rPr>
          <w:rFonts w:ascii="Verdana" w:cs="Verdana" w:eastAsia="Verdana" w:hAnsi="Verdana"/>
          <w:sz w:val="18"/>
          <w:szCs w:val="18"/>
          <w:rtl w:val="0"/>
        </w:rPr>
        <w:t xml:space="preserve">De Evaluatieprijs kan ook een negatieve waarde bevatten (Meerwaarde is hoger dan de Prijs). De Prijs wordt bepaald door de prijs van de te leveren initiële batch van werkplekapparatuur (150 stuks) en dienstverlening. </w:t>
      </w:r>
    </w:p>
    <w:p w:rsidR="00000000" w:rsidDel="00000000" w:rsidP="00000000" w:rsidRDefault="00000000" w:rsidRPr="00000000" w14:paraId="00000005">
      <w:pPr>
        <w:tabs>
          <w:tab w:val="left" w:leader="none" w:pos="1700"/>
          <w:tab w:val="left" w:leader="none" w:pos="566"/>
        </w:tabs>
        <w:spacing w:line="276" w:lineRule="auto"/>
        <w:rPr>
          <w:rFonts w:ascii="Verdana" w:cs="Verdana" w:eastAsia="Verdana" w:hAnsi="Verdana"/>
          <w:sz w:val="18"/>
          <w:szCs w:val="18"/>
        </w:rPr>
      </w:pPr>
      <w:r w:rsidDel="00000000" w:rsidR="00000000" w:rsidRPr="00000000">
        <w:rPr>
          <w:rtl w:val="0"/>
        </w:rPr>
      </w:r>
    </w:p>
    <w:tbl>
      <w:tblPr>
        <w:tblStyle w:val="Table1"/>
        <w:tblW w:w="9210.0" w:type="dxa"/>
        <w:jc w:val="left"/>
        <w:tblInd w:w="-1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65"/>
        <w:gridCol w:w="5865"/>
        <w:gridCol w:w="1155"/>
        <w:gridCol w:w="1125"/>
        <w:tblGridChange w:id="0">
          <w:tblGrid>
            <w:gridCol w:w="1065"/>
            <w:gridCol w:w="5865"/>
            <w:gridCol w:w="1155"/>
            <w:gridCol w:w="1125"/>
          </w:tblGrid>
        </w:tblGridChange>
      </w:tblGrid>
      <w:tr>
        <w:trPr>
          <w:cantSplit w:val="0"/>
          <w:trHeight w:val="480" w:hRule="atLeast"/>
          <w:tblHeader w:val="0"/>
        </w:trPr>
        <w:tc>
          <w:tcPr>
            <w:tcBorders>
              <w:top w:color="000000" w:space="0" w:sz="8" w:val="single"/>
              <w:left w:color="000000" w:space="0" w:sz="8" w:val="single"/>
              <w:bottom w:color="000000" w:space="0" w:sz="8" w:val="single"/>
              <w:right w:color="000000" w:space="0" w:sz="8" w:val="single"/>
            </w:tcBorders>
            <w:shd w:fill="3f6caf" w:val="clear"/>
            <w:tcMar>
              <w:top w:w="100.0" w:type="dxa"/>
              <w:left w:w="140.0" w:type="dxa"/>
              <w:bottom w:w="100.0" w:type="dxa"/>
              <w:right w:w="140.0" w:type="dxa"/>
            </w:tcMar>
          </w:tcPr>
          <w:p w:rsidR="00000000" w:rsidDel="00000000" w:rsidP="00000000" w:rsidRDefault="00000000" w:rsidRPr="00000000" w14:paraId="00000006">
            <w:pPr>
              <w:spacing w:line="305" w:lineRule="auto"/>
              <w:ind w:left="140" w:firstLine="0"/>
              <w:rPr>
                <w:rFonts w:ascii="Verdana" w:cs="Verdana" w:eastAsia="Verdana" w:hAnsi="Verdana"/>
                <w:color w:val="efefef"/>
                <w:sz w:val="18"/>
                <w:szCs w:val="18"/>
              </w:rPr>
            </w:pPr>
            <w:r w:rsidDel="00000000" w:rsidR="00000000" w:rsidRPr="00000000">
              <w:rPr>
                <w:rFonts w:ascii="Verdana" w:cs="Verdana" w:eastAsia="Verdana" w:hAnsi="Verdana"/>
                <w:color w:val="efefef"/>
                <w:sz w:val="18"/>
                <w:szCs w:val="18"/>
                <w:rtl w:val="0"/>
              </w:rPr>
              <w:t xml:space="preserve">Aantal</w:t>
            </w:r>
          </w:p>
        </w:tc>
        <w:tc>
          <w:tcPr>
            <w:tcBorders>
              <w:top w:color="000000" w:space="0" w:sz="8" w:val="single"/>
              <w:left w:color="000000" w:space="0" w:sz="8" w:val="single"/>
              <w:bottom w:color="000000" w:space="0" w:sz="8" w:val="single"/>
              <w:right w:color="000000" w:space="0" w:sz="8" w:val="single"/>
            </w:tcBorders>
            <w:shd w:fill="3f6caf" w:val="clear"/>
            <w:tcMar>
              <w:top w:w="100.0" w:type="dxa"/>
              <w:left w:w="140.0" w:type="dxa"/>
              <w:bottom w:w="100.0" w:type="dxa"/>
              <w:right w:w="140.0" w:type="dxa"/>
            </w:tcMar>
          </w:tcPr>
          <w:p w:rsidR="00000000" w:rsidDel="00000000" w:rsidP="00000000" w:rsidRDefault="00000000" w:rsidRPr="00000000" w14:paraId="00000007">
            <w:pPr>
              <w:spacing w:line="305" w:lineRule="auto"/>
              <w:ind w:left="140" w:firstLine="0"/>
              <w:rPr>
                <w:rFonts w:ascii="Verdana" w:cs="Verdana" w:eastAsia="Verdana" w:hAnsi="Verdana"/>
                <w:color w:val="efefef"/>
                <w:sz w:val="18"/>
                <w:szCs w:val="18"/>
              </w:rPr>
            </w:pPr>
            <w:r w:rsidDel="00000000" w:rsidR="00000000" w:rsidRPr="00000000">
              <w:rPr>
                <w:rFonts w:ascii="Verdana" w:cs="Verdana" w:eastAsia="Verdana" w:hAnsi="Verdana"/>
                <w:color w:val="efefef"/>
                <w:sz w:val="18"/>
                <w:szCs w:val="18"/>
                <w:rtl w:val="0"/>
              </w:rPr>
              <w:t xml:space="preserve">Omschrijving</w:t>
            </w:r>
          </w:p>
        </w:tc>
        <w:tc>
          <w:tcPr>
            <w:tcBorders>
              <w:top w:color="000000" w:space="0" w:sz="8" w:val="single"/>
              <w:left w:color="000000" w:space="0" w:sz="4" w:val="single"/>
              <w:bottom w:color="000000" w:space="0" w:sz="8" w:val="single"/>
              <w:right w:color="000000" w:space="0" w:sz="8" w:val="single"/>
            </w:tcBorders>
            <w:shd w:fill="3f6caf" w:val="clear"/>
            <w:tcMar>
              <w:top w:w="100.0" w:type="dxa"/>
              <w:left w:w="140.0" w:type="dxa"/>
              <w:bottom w:w="100.0" w:type="dxa"/>
              <w:right w:w="140.0" w:type="dxa"/>
            </w:tcMar>
          </w:tcPr>
          <w:p w:rsidR="00000000" w:rsidDel="00000000" w:rsidP="00000000" w:rsidRDefault="00000000" w:rsidRPr="00000000" w14:paraId="00000008">
            <w:pPr>
              <w:spacing w:line="305" w:lineRule="auto"/>
              <w:ind w:left="140" w:firstLine="0"/>
              <w:jc w:val="center"/>
              <w:rPr>
                <w:rFonts w:ascii="Verdana" w:cs="Verdana" w:eastAsia="Verdana" w:hAnsi="Verdana"/>
                <w:color w:val="efefef"/>
                <w:sz w:val="18"/>
                <w:szCs w:val="18"/>
              </w:rPr>
            </w:pPr>
            <w:r w:rsidDel="00000000" w:rsidR="00000000" w:rsidRPr="00000000">
              <w:rPr>
                <w:rFonts w:ascii="Verdana" w:cs="Verdana" w:eastAsia="Verdana" w:hAnsi="Verdana"/>
                <w:color w:val="efefef"/>
                <w:sz w:val="18"/>
                <w:szCs w:val="18"/>
                <w:rtl w:val="0"/>
              </w:rPr>
              <w:t xml:space="preserve">Prijs per stuk</w:t>
            </w:r>
          </w:p>
        </w:tc>
        <w:tc>
          <w:tcPr>
            <w:tcBorders>
              <w:top w:color="000000" w:space="0" w:sz="8" w:val="single"/>
              <w:left w:color="000000" w:space="0" w:sz="0" w:val="nil"/>
              <w:bottom w:color="000000" w:space="0" w:sz="8" w:val="single"/>
              <w:right w:color="000000" w:space="0" w:sz="8" w:val="single"/>
            </w:tcBorders>
            <w:shd w:fill="3f6caf" w:val="clear"/>
            <w:tcMar>
              <w:top w:w="100.0" w:type="dxa"/>
              <w:left w:w="140.0" w:type="dxa"/>
              <w:bottom w:w="100.0" w:type="dxa"/>
              <w:right w:w="140.0" w:type="dxa"/>
            </w:tcMar>
          </w:tcPr>
          <w:p w:rsidR="00000000" w:rsidDel="00000000" w:rsidP="00000000" w:rsidRDefault="00000000" w:rsidRPr="00000000" w14:paraId="00000009">
            <w:pPr>
              <w:spacing w:line="305" w:lineRule="auto"/>
              <w:ind w:left="140" w:firstLine="0"/>
              <w:jc w:val="center"/>
              <w:rPr>
                <w:rFonts w:ascii="Verdana" w:cs="Verdana" w:eastAsia="Verdana" w:hAnsi="Verdana"/>
                <w:color w:val="efefef"/>
                <w:sz w:val="18"/>
                <w:szCs w:val="18"/>
              </w:rPr>
            </w:pPr>
            <w:r w:rsidDel="00000000" w:rsidR="00000000" w:rsidRPr="00000000">
              <w:rPr>
                <w:rFonts w:ascii="Verdana" w:cs="Verdana" w:eastAsia="Verdana" w:hAnsi="Verdana"/>
                <w:color w:val="efefef"/>
                <w:sz w:val="18"/>
                <w:szCs w:val="18"/>
                <w:rtl w:val="0"/>
              </w:rPr>
              <w:t xml:space="preserve">Totaal</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0A">
            <w:pPr>
              <w:spacing w:line="240" w:lineRule="auto"/>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150</w:t>
            </w:r>
          </w:p>
        </w:tc>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0B">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Laptop (initiële levering) conform paragraaf 5.3</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0C">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0D">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w:t>
            </w:r>
          </w:p>
        </w:tc>
      </w:tr>
      <w:tr>
        <w:trPr>
          <w:cantSplit w:val="0"/>
          <w:trHeight w:val="480" w:hRule="atLeast"/>
          <w:tblHeader w:val="0"/>
        </w:trPr>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0E">
            <w:pPr>
              <w:spacing w:line="240" w:lineRule="auto"/>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750</w:t>
            </w:r>
          </w:p>
        </w:tc>
        <w:tc>
          <w:tcPr>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0F">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Alle</w:t>
            </w:r>
            <w:r w:rsidDel="00000000" w:rsidR="00000000" w:rsidRPr="00000000">
              <w:rPr>
                <w:rFonts w:ascii="Verdana" w:cs="Verdana" w:eastAsia="Verdana" w:hAnsi="Verdana"/>
                <w:sz w:val="18"/>
                <w:szCs w:val="18"/>
                <w:rtl w:val="0"/>
              </w:rPr>
              <w:t xml:space="preserve"> werkzaamheden conform conform hoofdstuk 6 van deze offerteaanvraag</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10">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11">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w:t>
            </w:r>
          </w:p>
        </w:tc>
      </w:tr>
      <w:tr>
        <w:trPr>
          <w:cantSplit w:val="0"/>
          <w:trHeight w:val="480" w:hRule="atLeast"/>
          <w:tblHeader w:val="0"/>
        </w:trPr>
        <w:tc>
          <w:tcPr>
            <w:gridSpan w:val="4"/>
            <w:tcBorders>
              <w:top w:color="000000" w:space="0" w:sz="0" w:val="nil"/>
              <w:left w:color="000000" w:space="0" w:sz="8" w:val="single"/>
              <w:bottom w:color="000000" w:space="0" w:sz="8" w:val="single"/>
              <w:right w:color="000000" w:space="0" w:sz="8" w:val="single"/>
            </w:tcBorders>
            <w:shd w:fill="4f81bd" w:val="clear"/>
            <w:tcMar>
              <w:top w:w="100.0" w:type="dxa"/>
              <w:left w:w="140.0" w:type="dxa"/>
              <w:bottom w:w="100.0" w:type="dxa"/>
              <w:right w:w="140.0" w:type="dxa"/>
            </w:tcMar>
          </w:tcPr>
          <w:p w:rsidR="00000000" w:rsidDel="00000000" w:rsidP="00000000" w:rsidRDefault="00000000" w:rsidRPr="00000000" w14:paraId="00000012">
            <w:pPr>
              <w:spacing w:line="240" w:lineRule="auto"/>
              <w:rPr>
                <w:rFonts w:ascii="Verdana" w:cs="Verdana" w:eastAsia="Verdana" w:hAnsi="Verdana"/>
                <w:sz w:val="18"/>
                <w:szCs w:val="18"/>
              </w:rPr>
            </w:pPr>
            <w:r w:rsidDel="00000000" w:rsidR="00000000" w:rsidRPr="00000000">
              <w:rPr>
                <w:rtl w:val="0"/>
              </w:rPr>
            </w:r>
          </w:p>
        </w:tc>
      </w:tr>
      <w:tr>
        <w:trPr>
          <w:cantSplit w:val="0"/>
          <w:trHeight w:val="480" w:hRule="atLeast"/>
          <w:tblHeader w:val="0"/>
        </w:trPr>
        <w:tc>
          <w:tcPr>
            <w:gridSpan w:val="3"/>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16">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Productcatalogus</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19">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w:t>
            </w:r>
          </w:p>
        </w:tc>
      </w:tr>
      <w:tr>
        <w:trPr>
          <w:cantSplit w:val="0"/>
          <w:trHeight w:val="480" w:hRule="atLeast"/>
          <w:tblHeader w:val="0"/>
        </w:trPr>
        <w:tc>
          <w:tcPr>
            <w:gridSpan w:val="4"/>
            <w:tcBorders>
              <w:top w:color="000000" w:space="0" w:sz="0" w:val="nil"/>
              <w:left w:color="000000" w:space="0" w:sz="8" w:val="single"/>
              <w:bottom w:color="000000" w:space="0" w:sz="8" w:val="single"/>
              <w:right w:color="000000" w:space="0" w:sz="8" w:val="single"/>
            </w:tcBorders>
            <w:shd w:fill="4f81bd" w:val="clear"/>
            <w:tcMar>
              <w:top w:w="100.0" w:type="dxa"/>
              <w:left w:w="140.0" w:type="dxa"/>
              <w:bottom w:w="100.0" w:type="dxa"/>
              <w:right w:w="140.0" w:type="dxa"/>
            </w:tcMar>
          </w:tcPr>
          <w:p w:rsidR="00000000" w:rsidDel="00000000" w:rsidP="00000000" w:rsidRDefault="00000000" w:rsidRPr="00000000" w14:paraId="0000001A">
            <w:pPr>
              <w:rPr>
                <w:rFonts w:ascii="Verdana" w:cs="Verdana" w:eastAsia="Verdana" w:hAnsi="Verdana"/>
                <w:sz w:val="18"/>
                <w:szCs w:val="18"/>
              </w:rPr>
            </w:pPr>
            <w:r w:rsidDel="00000000" w:rsidR="00000000" w:rsidRPr="00000000">
              <w:rPr>
                <w:rtl w:val="0"/>
              </w:rPr>
            </w:r>
          </w:p>
        </w:tc>
      </w:tr>
      <w:tr>
        <w:trPr>
          <w:cantSplit w:val="0"/>
          <w:trHeight w:val="480" w:hRule="atLeast"/>
          <w:tblHeader w:val="0"/>
        </w:trPr>
        <w:tc>
          <w:tcPr>
            <w:gridSpan w:val="3"/>
            <w:tcBorders>
              <w:top w:color="000000" w:space="0" w:sz="0" w:val="nil"/>
              <w:left w:color="000000" w:space="0" w:sz="8" w:val="single"/>
              <w:bottom w:color="000000" w:space="0" w:sz="8" w:val="single"/>
              <w:right w:color="000000" w:space="0" w:sz="8" w:val="single"/>
            </w:tcBorders>
            <w:tcMar>
              <w:top w:w="100.0" w:type="dxa"/>
              <w:left w:w="140.0" w:type="dxa"/>
              <w:bottom w:w="100.0" w:type="dxa"/>
              <w:right w:w="140.0" w:type="dxa"/>
            </w:tcMar>
          </w:tcPr>
          <w:p w:rsidR="00000000" w:rsidDel="00000000" w:rsidP="00000000" w:rsidRDefault="00000000" w:rsidRPr="00000000" w14:paraId="0000001E">
            <w:pPr>
              <w:spacing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Totaal</w:t>
            </w:r>
          </w:p>
        </w:tc>
        <w:tc>
          <w:tcPr>
            <w:tcBorders>
              <w:top w:color="000000" w:space="0" w:sz="0" w:val="nil"/>
              <w:left w:color="000000" w:space="0" w:sz="8" w:val="single"/>
              <w:bottom w:color="000000" w:space="0" w:sz="8" w:val="single"/>
              <w:right w:color="000000" w:space="0" w:sz="8" w:val="single"/>
            </w:tcBorders>
          </w:tcPr>
          <w:p w:rsidR="00000000" w:rsidDel="00000000" w:rsidP="00000000" w:rsidRDefault="00000000" w:rsidRPr="00000000" w14:paraId="00000021">
            <w:pPr>
              <w:spacing w:line="305" w:lineRule="auto"/>
              <w:ind w:left="14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w:t>
            </w:r>
          </w:p>
        </w:tc>
      </w:tr>
    </w:tbl>
    <w:p w:rsidR="00000000" w:rsidDel="00000000" w:rsidP="00000000" w:rsidRDefault="00000000" w:rsidRPr="00000000" w14:paraId="00000022">
      <w:pPr>
        <w:keepNext w:val="1"/>
        <w:keepLines w:val="1"/>
        <w:tabs>
          <w:tab w:val="left" w:leader="none" w:pos="566"/>
        </w:tabs>
        <w:spacing w:line="480" w:lineRule="auto"/>
        <w:rPr>
          <w:rFonts w:ascii="Verdana" w:cs="Verdana" w:eastAsia="Verdana" w:hAnsi="Verdana"/>
          <w:sz w:val="18"/>
          <w:szCs w:val="18"/>
        </w:rPr>
      </w:pPr>
      <w:bookmarkStart w:colFirst="0" w:colLast="0" w:name="_5prs3giq46r2" w:id="1"/>
      <w:bookmarkEnd w:id="1"/>
      <w:r w:rsidDel="00000000" w:rsidR="00000000" w:rsidRPr="00000000">
        <w:rPr>
          <w:rtl w:val="0"/>
        </w:rPr>
      </w:r>
    </w:p>
    <w:p w:rsidR="00000000" w:rsidDel="00000000" w:rsidP="00000000" w:rsidRDefault="00000000" w:rsidRPr="00000000" w14:paraId="00000023">
      <w:pPr>
        <w:keepNext w:val="1"/>
        <w:keepLines w:val="1"/>
        <w:tabs>
          <w:tab w:val="left" w:leader="none" w:pos="566"/>
        </w:tabs>
        <w:spacing w:line="480" w:lineRule="auto"/>
        <w:rPr>
          <w:rFonts w:ascii="Verdana" w:cs="Verdana" w:eastAsia="Verdana" w:hAnsi="Verdana"/>
          <w:color w:val="4f81bd"/>
          <w:sz w:val="14"/>
          <w:szCs w:val="14"/>
        </w:rPr>
      </w:pPr>
      <w:bookmarkStart w:colFirst="0" w:colLast="0" w:name="_vnmv8kt3r6fv" w:id="2"/>
      <w:bookmarkEnd w:id="2"/>
      <w:r w:rsidDel="00000000" w:rsidR="00000000" w:rsidRPr="00000000">
        <w:rPr>
          <w:rFonts w:ascii="Verdana" w:cs="Verdana" w:eastAsia="Verdana" w:hAnsi="Verdana"/>
          <w:b w:val="1"/>
          <w:color w:val="4f81bd"/>
          <w:sz w:val="18"/>
          <w:szCs w:val="18"/>
          <w:rtl w:val="0"/>
        </w:rPr>
        <w:t xml:space="preserve">Opslagpercentage</w:t>
      </w:r>
      <w:r w:rsidDel="00000000" w:rsidR="00000000" w:rsidRPr="00000000">
        <w:rPr>
          <w:rtl w:val="0"/>
        </w:rPr>
      </w:r>
    </w:p>
    <w:tbl>
      <w:tblPr>
        <w:tblStyle w:val="Table2"/>
        <w:tblW w:w="10215.000000000002" w:type="dxa"/>
        <w:jc w:val="left"/>
        <w:tblInd w:w="-6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22.2401171303075"/>
        <w:gridCol w:w="6433.286969253295"/>
        <w:gridCol w:w="989.7364568081991"/>
        <w:gridCol w:w="989.7364568081991"/>
        <w:gridCol w:w="1080"/>
        <w:tblGridChange w:id="0">
          <w:tblGrid>
            <w:gridCol w:w="722.2401171303075"/>
            <w:gridCol w:w="6433.286969253295"/>
            <w:gridCol w:w="989.7364568081991"/>
            <w:gridCol w:w="989.7364568081991"/>
            <w:gridCol w:w="1080"/>
          </w:tblGrid>
        </w:tblGridChange>
      </w:tblGrid>
      <w:tr>
        <w:trPr>
          <w:cantSplit w:val="0"/>
          <w:trHeight w:val="51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24">
            <w:pPr>
              <w:spacing w:line="240" w:lineRule="auto"/>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5.10</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25">
            <w:pPr>
              <w:spacing w:line="24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De inschrijver dient tevens aan te geven welk </w:t>
            </w:r>
            <w:r w:rsidDel="00000000" w:rsidR="00000000" w:rsidRPr="00000000">
              <w:rPr>
                <w:rFonts w:ascii="Verdana" w:cs="Verdana" w:eastAsia="Verdana" w:hAnsi="Verdana"/>
                <w:sz w:val="17"/>
                <w:szCs w:val="17"/>
                <w:u w:val="single"/>
                <w:rtl w:val="0"/>
              </w:rPr>
              <w:t xml:space="preserve">vast opslagpercentage</w:t>
            </w:r>
            <w:r w:rsidDel="00000000" w:rsidR="00000000" w:rsidRPr="00000000">
              <w:rPr>
                <w:rFonts w:ascii="Verdana" w:cs="Verdana" w:eastAsia="Verdana" w:hAnsi="Verdana"/>
                <w:sz w:val="17"/>
                <w:szCs w:val="17"/>
                <w:rtl w:val="0"/>
              </w:rPr>
              <w:t xml:space="preserve"> (boven de inkoopprijs van de inschrijver) </w:t>
            </w:r>
            <w:r w:rsidDel="00000000" w:rsidR="00000000" w:rsidRPr="00000000">
              <w:rPr>
                <w:rFonts w:ascii="Verdana" w:cs="Verdana" w:eastAsia="Verdana" w:hAnsi="Verdana"/>
                <w:sz w:val="17"/>
                <w:szCs w:val="17"/>
                <w:u w:val="single"/>
                <w:rtl w:val="0"/>
              </w:rPr>
              <w:t xml:space="preserve">voor werkplekapparatuur</w:t>
            </w:r>
            <w:r w:rsidDel="00000000" w:rsidR="00000000" w:rsidRPr="00000000">
              <w:rPr>
                <w:rFonts w:ascii="Verdana" w:cs="Verdana" w:eastAsia="Verdana" w:hAnsi="Verdana"/>
                <w:sz w:val="17"/>
                <w:szCs w:val="17"/>
                <w:rtl w:val="0"/>
              </w:rPr>
              <w:t xml:space="preserve"> zal worden gehanteerd gedurende de looptijd van de raamovereenkomst. Dit zal volgens onderstaande waardering worden gescoord:</w:t>
            </w:r>
          </w:p>
          <w:p w:rsidR="00000000" w:rsidDel="00000000" w:rsidP="00000000" w:rsidRDefault="00000000" w:rsidRPr="00000000" w14:paraId="00000026">
            <w:pPr>
              <w:numPr>
                <w:ilvl w:val="0"/>
                <w:numId w:val="1"/>
              </w:numPr>
              <w:spacing w:line="240" w:lineRule="auto"/>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2% = € 50.000,- </w:t>
            </w:r>
          </w:p>
          <w:p w:rsidR="00000000" w:rsidDel="00000000" w:rsidP="00000000" w:rsidRDefault="00000000" w:rsidRPr="00000000" w14:paraId="00000027">
            <w:pPr>
              <w:numPr>
                <w:ilvl w:val="0"/>
                <w:numId w:val="1"/>
              </w:numPr>
              <w:spacing w:line="240" w:lineRule="auto"/>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7% =€ 0,-</w:t>
            </w:r>
          </w:p>
          <w:p w:rsidR="00000000" w:rsidDel="00000000" w:rsidP="00000000" w:rsidRDefault="00000000" w:rsidRPr="00000000" w14:paraId="00000028">
            <w:pPr>
              <w:spacing w:line="24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Inschrijver dient in het percentage aan te geven met 1 cijfer achter de komma (bijvoorbeeld 2,8 of 4,0). Elke 0,1% (boven de ondergrens van 2% is € 1.000,-. Bij rato geeft dit bij een percentage van bijvoorbeeld 4% een meerwaarde van € 30.000,- (€ 50.000,- minus € 20.000,-).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29">
            <w:pPr>
              <w:spacing w:line="240" w:lineRule="auto"/>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2A">
            <w:pPr>
              <w:spacing w:line="240" w:lineRule="auto"/>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w:t>
            </w:r>
          </w:p>
        </w:tc>
      </w:tr>
      <w:tr>
        <w:trPr>
          <w:cantSplit w:val="0"/>
          <w:trHeight w:val="510" w:hRule="atLeast"/>
          <w:tblHeader w:val="0"/>
        </w:trPr>
        <w:tc>
          <w:tcPr>
            <w:tcBorders>
              <w:top w:color="000000" w:space="0" w:sz="0" w:val="nil"/>
              <w:left w:color="000000" w:space="0" w:sz="8" w:val="single"/>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2B">
            <w:pPr>
              <w:spacing w:line="240" w:lineRule="auto"/>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5.11</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2C">
            <w:pPr>
              <w:spacing w:line="24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De inschrijver dient tevens aan te geven welk </w:t>
            </w:r>
            <w:r w:rsidDel="00000000" w:rsidR="00000000" w:rsidRPr="00000000">
              <w:rPr>
                <w:rFonts w:ascii="Verdana" w:cs="Verdana" w:eastAsia="Verdana" w:hAnsi="Verdana"/>
                <w:sz w:val="17"/>
                <w:szCs w:val="17"/>
                <w:u w:val="single"/>
                <w:rtl w:val="0"/>
              </w:rPr>
              <w:t xml:space="preserve">vast opslagpercentage</w:t>
            </w:r>
            <w:r w:rsidDel="00000000" w:rsidR="00000000" w:rsidRPr="00000000">
              <w:rPr>
                <w:rFonts w:ascii="Verdana" w:cs="Verdana" w:eastAsia="Verdana" w:hAnsi="Verdana"/>
                <w:sz w:val="17"/>
                <w:szCs w:val="17"/>
                <w:rtl w:val="0"/>
              </w:rPr>
              <w:t xml:space="preserve"> (boven de inkoopprijs van de inschrijver) </w:t>
            </w:r>
            <w:r w:rsidDel="00000000" w:rsidR="00000000" w:rsidRPr="00000000">
              <w:rPr>
                <w:rFonts w:ascii="Verdana" w:cs="Verdana" w:eastAsia="Verdana" w:hAnsi="Verdana"/>
                <w:sz w:val="17"/>
                <w:szCs w:val="17"/>
                <w:u w:val="single"/>
                <w:rtl w:val="0"/>
              </w:rPr>
              <w:t xml:space="preserve">voor accessoires</w:t>
            </w:r>
            <w:r w:rsidDel="00000000" w:rsidR="00000000" w:rsidRPr="00000000">
              <w:rPr>
                <w:rFonts w:ascii="Verdana" w:cs="Verdana" w:eastAsia="Verdana" w:hAnsi="Verdana"/>
                <w:sz w:val="17"/>
                <w:szCs w:val="17"/>
                <w:rtl w:val="0"/>
              </w:rPr>
              <w:t xml:space="preserve"> zal worden gehanteerd gedurende de looptijd van de raamovereenkomst. Dit zal volgens onderstaande waardering worden gescoord:</w:t>
            </w:r>
          </w:p>
          <w:p w:rsidR="00000000" w:rsidDel="00000000" w:rsidP="00000000" w:rsidRDefault="00000000" w:rsidRPr="00000000" w14:paraId="0000002D">
            <w:pPr>
              <w:numPr>
                <w:ilvl w:val="0"/>
                <w:numId w:val="1"/>
              </w:numPr>
              <w:spacing w:line="240" w:lineRule="auto"/>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2% = € 25.000,- </w:t>
            </w:r>
          </w:p>
          <w:p w:rsidR="00000000" w:rsidDel="00000000" w:rsidP="00000000" w:rsidRDefault="00000000" w:rsidRPr="00000000" w14:paraId="0000002E">
            <w:pPr>
              <w:numPr>
                <w:ilvl w:val="0"/>
                <w:numId w:val="1"/>
              </w:numPr>
              <w:spacing w:line="240" w:lineRule="auto"/>
              <w:ind w:left="720" w:hanging="360"/>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7% =€ 0,-</w:t>
            </w:r>
          </w:p>
          <w:p w:rsidR="00000000" w:rsidDel="00000000" w:rsidP="00000000" w:rsidRDefault="00000000" w:rsidRPr="00000000" w14:paraId="0000002F">
            <w:pPr>
              <w:spacing w:line="240" w:lineRule="auto"/>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Inschrijver dient in het percentage aan te geven met 1 cijfer achter de komma (bijvoorbeeld 2,8 of 4,0). Elke 0,1% (boven de ondergrens van 2%) is  € 500,-. Bij rato geeft dit bij een percentage van bijvoorbeeld 4% een meerwaarde van € 15.000,- (€ 25.000,- minus € 10.000,-). </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30">
            <w:pPr>
              <w:spacing w:line="240" w:lineRule="auto"/>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w:t>
            </w:r>
          </w:p>
        </w:tc>
        <w:tc>
          <w:tcPr>
            <w:tcBorders>
              <w:top w:color="000000" w:space="0" w:sz="0" w:val="nil"/>
              <w:left w:color="000000" w:space="0" w:sz="0" w:val="nil"/>
              <w:bottom w:color="000000" w:space="0" w:sz="8" w:val="single"/>
              <w:right w:color="000000" w:space="0" w:sz="8" w:val="single"/>
            </w:tcBorders>
            <w:shd w:fill="auto" w:val="clear"/>
            <w:tcMar>
              <w:top w:w="100.0" w:type="dxa"/>
              <w:left w:w="100.0" w:type="dxa"/>
              <w:bottom w:w="100.0" w:type="dxa"/>
              <w:right w:w="100.0" w:type="dxa"/>
            </w:tcMar>
          </w:tcPr>
          <w:p w:rsidR="00000000" w:rsidDel="00000000" w:rsidP="00000000" w:rsidRDefault="00000000" w:rsidRPr="00000000" w14:paraId="00000031">
            <w:pPr>
              <w:spacing w:line="240" w:lineRule="auto"/>
              <w:jc w:val="center"/>
              <w:rPr>
                <w:rFonts w:ascii="Verdana" w:cs="Verdana" w:eastAsia="Verdana" w:hAnsi="Verdana"/>
                <w:sz w:val="17"/>
                <w:szCs w:val="17"/>
              </w:rPr>
            </w:pPr>
            <w:r w:rsidDel="00000000" w:rsidR="00000000" w:rsidRPr="00000000">
              <w:rPr>
                <w:rFonts w:ascii="Verdana" w:cs="Verdana" w:eastAsia="Verdana" w:hAnsi="Verdana"/>
                <w:sz w:val="17"/>
                <w:szCs w:val="17"/>
                <w:rtl w:val="0"/>
              </w:rPr>
              <w:t xml:space="preserve">€,-</w:t>
            </w:r>
          </w:p>
        </w:tc>
      </w:tr>
    </w:tbl>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rFonts w:ascii="Verdana" w:cs="Verdana" w:eastAsia="Verdana" w:hAnsi="Verdana"/>
          <w:i w:val="1"/>
          <w:sz w:val="18"/>
          <w:szCs w:val="18"/>
        </w:rPr>
      </w:pPr>
      <w:r w:rsidDel="00000000" w:rsidR="00000000" w:rsidRPr="00000000">
        <w:rPr>
          <w:rFonts w:ascii="Verdana" w:cs="Verdana" w:eastAsia="Verdana" w:hAnsi="Verdana"/>
          <w:i w:val="1"/>
          <w:sz w:val="18"/>
          <w:szCs w:val="18"/>
          <w:rtl w:val="0"/>
        </w:rPr>
        <w:t xml:space="preserve">De inschrijver dient in bovenstaande tabel zowel het percentage als het resultaat daarvan (de te behalen meerwaarde) op te voeren.</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line="240" w:lineRule="auto"/>
    </w:pPr>
    <w:tblPr>
      <w:tblStyleRowBandSize w:val="1"/>
      <w:tblStyleColBandSize w:val="1"/>
      <w:tblCellMar>
        <w:top w:w="100.0" w:type="dxa"/>
        <w:left w:w="100.0" w:type="dxa"/>
        <w:bottom w:w="100.0" w:type="dxa"/>
        <w:right w:w="100.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