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B0" w:rsidRDefault="0039217F" w:rsidP="0039217F">
      <w:pPr>
        <w:spacing w:after="120" w:line="240" w:lineRule="atLeast"/>
        <w:rPr>
          <w:rFonts w:ascii="Verdana" w:hAnsi="Verdana" w:cs="V&amp;W Syntax (Adobe)"/>
          <w:b/>
          <w:bCs/>
          <w:color w:val="000000"/>
        </w:rPr>
      </w:pPr>
      <w:r>
        <w:rPr>
          <w:rFonts w:ascii="Verdana" w:hAnsi="Verdana" w:cs="V&amp;W Syntax (Adobe)"/>
          <w:b/>
          <w:bCs/>
          <w:color w:val="000000"/>
          <w:lang w:val="en-GB"/>
        </w:rPr>
        <w:t xml:space="preserve">Annex </w:t>
      </w:r>
      <w:r w:rsidR="007C64CC">
        <w:rPr>
          <w:rFonts w:ascii="Verdana" w:hAnsi="Verdana" w:cs="V&amp;W Syntax (Adobe)"/>
          <w:b/>
          <w:bCs/>
          <w:color w:val="000000"/>
          <w:lang w:val="en-GB"/>
        </w:rPr>
        <w:t xml:space="preserve">2A </w:t>
      </w:r>
      <w:bookmarkStart w:id="0" w:name="_GoBack"/>
      <w:bookmarkEnd w:id="0"/>
      <w:r>
        <w:rPr>
          <w:rFonts w:ascii="Verdana" w:hAnsi="Verdana" w:cs="V&amp;W Syntax (Adobe)"/>
          <w:b/>
          <w:bCs/>
          <w:color w:val="000000"/>
          <w:lang w:val="en-GB"/>
        </w:rPr>
        <w:t>Format Lot 1 Quality Criteria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4252"/>
        <w:gridCol w:w="6650"/>
      </w:tblGrid>
      <w:tr w:rsidR="0039217F" w:rsidRPr="007C64CC" w:rsidTr="007571A0"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spacing w:line="240" w:lineRule="atLeast"/>
              <w:jc w:val="center"/>
              <w:rPr>
                <w:rFonts w:ascii="Verdana" w:hAnsi="Verdana" w:cs="V&amp;W Syntax (Adobe)"/>
                <w:b/>
                <w:bCs/>
                <w:color w:val="000000"/>
              </w:rPr>
            </w:pPr>
            <w:r>
              <w:rPr>
                <w:rFonts w:ascii="Verdana" w:hAnsi="Verdana" w:cs="V&amp;W Syntax (Adobe)"/>
                <w:b/>
                <w:bCs/>
                <w:color w:val="000000"/>
                <w:lang w:val="en-GB"/>
              </w:rPr>
              <w:t>Criterion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spacing w:line="240" w:lineRule="atLeast"/>
              <w:jc w:val="center"/>
              <w:rPr>
                <w:rFonts w:ascii="Verdana" w:hAnsi="Verdana" w:cs="V&amp;W Syntax (Adobe)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V&amp;W Syntax (Adobe)"/>
                <w:b/>
                <w:bCs/>
                <w:color w:val="000000"/>
                <w:lang w:val="en-GB"/>
              </w:rPr>
              <w:t>Subcriterion</w:t>
            </w:r>
            <w:proofErr w:type="spellEnd"/>
          </w:p>
        </w:tc>
        <w:tc>
          <w:tcPr>
            <w:tcW w:w="66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7F" w:rsidRPr="007C64CC" w:rsidRDefault="0039217F" w:rsidP="0039217F">
            <w:pPr>
              <w:spacing w:line="240" w:lineRule="atLeast"/>
              <w:ind w:left="-51" w:right="-108"/>
              <w:jc w:val="center"/>
              <w:rPr>
                <w:rFonts w:ascii="Verdana" w:hAnsi="Verdana" w:cs="V&amp;W Syntax (Adobe)"/>
                <w:b/>
                <w:bCs/>
                <w:color w:val="000000"/>
                <w:lang w:val="en-US"/>
              </w:rPr>
            </w:pPr>
            <w:r>
              <w:rPr>
                <w:rFonts w:ascii="Verdana" w:hAnsi="Verdana" w:cs="V&amp;W Syntax (Adobe)"/>
                <w:b/>
                <w:bCs/>
                <w:color w:val="000000"/>
                <w:lang w:val="en-GB"/>
              </w:rPr>
              <w:t>The Tenderer enters the value by crossing out that which does not apply</w:t>
            </w:r>
          </w:p>
        </w:tc>
      </w:tr>
      <w:tr w:rsidR="0039217F" w:rsidRPr="0039217F" w:rsidTr="007571A0">
        <w:trPr>
          <w:cantSplit/>
        </w:trPr>
        <w:tc>
          <w:tcPr>
            <w:tcW w:w="313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spacing w:line="240" w:lineRule="atLeast"/>
              <w:ind w:left="228" w:hanging="228"/>
              <w:rPr>
                <w:rFonts w:asciiTheme="majorHAnsi" w:hAnsiTheme="majorHAnsi" w:cs="V&amp;W Syntax (Adobe)"/>
                <w:b/>
                <w:bCs/>
                <w:color w:val="000000"/>
              </w:rPr>
            </w:pPr>
            <w:r>
              <w:rPr>
                <w:rFonts w:asciiTheme="majorHAnsi" w:hAnsiTheme="majorHAnsi"/>
                <w:color w:val="000000"/>
                <w:lang w:val="en-GB"/>
              </w:rPr>
              <w:t>5.2.1</w:t>
            </w:r>
            <w:r>
              <w:rPr>
                <w:rFonts w:asciiTheme="majorHAnsi" w:hAnsiTheme="majorHAnsi"/>
                <w:color w:val="000000"/>
                <w:lang w:val="en-GB"/>
              </w:rPr>
              <w:tab/>
              <w:t xml:space="preserve">Technical aspects </w:t>
            </w:r>
            <w:r>
              <w:rPr>
                <w:rFonts w:asciiTheme="majorHAnsi" w:hAnsiTheme="majorHAnsi"/>
                <w:color w:val="000000"/>
                <w:lang w:val="en-GB"/>
              </w:rPr>
              <w:fldChar w:fldCharType="begin"/>
            </w:r>
            <w:r>
              <w:rPr>
                <w:rFonts w:asciiTheme="majorHAnsi" w:hAnsiTheme="majorHAnsi"/>
                <w:b/>
                <w:bCs/>
                <w:i/>
                <w:iCs/>
                <w:vanish/>
                <w:color w:val="000000"/>
              </w:rPr>
              <w:instrText xml:space="preserve"> FORMTEXT </w:instrText>
            </w:r>
            <w:r>
              <w:rPr>
                <w:rFonts w:asciiTheme="majorHAnsi" w:hAnsiTheme="majorHAnsi"/>
                <w:color w:val="000000"/>
                <w:lang w:val="en-GB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i/>
                <w:iCs/>
                <w:noProof/>
                <w:vanish/>
                <w:color w:val="000000"/>
              </w:rPr>
              <w:t>Uitvoering</w:t>
            </w:r>
            <w:r>
              <w:rPr>
                <w:rFonts w:asciiTheme="majorHAnsi" w:hAnsiTheme="majorHAnsi"/>
                <w:color w:val="000000"/>
                <w:lang w:val="en-GB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217F" w:rsidRPr="0039217F" w:rsidRDefault="0039217F" w:rsidP="0039217F">
            <w:pPr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>1.1. Blanking ≤ 2 m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17F" w:rsidRPr="0039217F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blanking &gt; 2.0 m </w:t>
            </w:r>
          </w:p>
          <w:p w:rsidR="007571A0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</w:p>
          <w:p w:rsidR="0039217F" w:rsidRPr="0039217F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blanking ≤ 2.0 m </w:t>
            </w:r>
          </w:p>
          <w:p w:rsidR="007571A0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</w:p>
          <w:p w:rsidR="0039217F" w:rsidRPr="0039217F" w:rsidRDefault="0039217F" w:rsidP="00B65A44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blanking ≤ 1.5 m</w:t>
            </w:r>
          </w:p>
        </w:tc>
      </w:tr>
      <w:tr w:rsidR="0039217F" w:rsidRPr="007C64CC" w:rsidTr="007571A0">
        <w:trPr>
          <w:cantSplit/>
          <w:trHeight w:val="225"/>
        </w:trPr>
        <w:tc>
          <w:tcPr>
            <w:tcW w:w="313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spacing w:line="240" w:lineRule="atLeast"/>
              <w:ind w:left="-51" w:right="-108"/>
              <w:rPr>
                <w:rFonts w:asciiTheme="majorHAnsi" w:hAnsiTheme="majorHAnsi" w:cs="V&amp;W Syntax (Adobe)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217F" w:rsidRPr="007C64CC" w:rsidRDefault="0039217F" w:rsidP="0039217F">
            <w:pPr>
              <w:rPr>
                <w:rFonts w:asciiTheme="majorHAnsi" w:eastAsia="Times New Roman" w:hAnsiTheme="majorHAnsi" w:cs="Arial"/>
                <w:lang w:val="en-US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>1.2 RMI message and dual output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17F" w:rsidRPr="007C64CC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no RMI message and/or dual output </w:t>
            </w: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39217F" w:rsidP="00B65A44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both RMI message and dual output </w:t>
            </w:r>
          </w:p>
        </w:tc>
      </w:tr>
      <w:tr w:rsidR="0039217F" w:rsidRPr="007C64CC" w:rsidTr="007571A0">
        <w:trPr>
          <w:cantSplit/>
          <w:trHeight w:val="225"/>
        </w:trPr>
        <w:tc>
          <w:tcPr>
            <w:tcW w:w="31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217F" w:rsidRPr="007C64CC" w:rsidRDefault="0039217F" w:rsidP="0039217F">
            <w:pPr>
              <w:spacing w:line="240" w:lineRule="atLeast"/>
              <w:ind w:left="-51" w:right="-108"/>
              <w:rPr>
                <w:rFonts w:asciiTheme="majorHAnsi" w:hAnsiTheme="majorHAnsi" w:cs="V&amp;W Syntax (Adobe)"/>
                <w:color w:val="000000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217F" w:rsidRPr="007C64CC" w:rsidRDefault="0039217F" w:rsidP="0039217F">
            <w:pPr>
              <w:rPr>
                <w:rFonts w:asciiTheme="majorHAnsi" w:eastAsia="Times New Roman" w:hAnsiTheme="majorHAnsi" w:cs="Arial"/>
                <w:lang w:val="en-US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>1.3 Configuration and monitoring via data port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217F" w:rsidRPr="007C64CC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configuration and monitoring is not possible via the data port</w:t>
            </w: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39217F" w:rsidP="00B65A44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configuration and monitoring is possible via the data port</w:t>
            </w:r>
          </w:p>
        </w:tc>
      </w:tr>
      <w:tr w:rsidR="0039217F" w:rsidRPr="007C64CC" w:rsidTr="007571A0">
        <w:trPr>
          <w:cantSplit/>
        </w:trPr>
        <w:tc>
          <w:tcPr>
            <w:tcW w:w="313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:rsidR="0039217F" w:rsidRPr="007C64CC" w:rsidRDefault="0039217F" w:rsidP="0039217F">
            <w:pPr>
              <w:spacing w:line="240" w:lineRule="atLeast"/>
              <w:ind w:left="228" w:hanging="228"/>
              <w:rPr>
                <w:rFonts w:asciiTheme="majorHAnsi" w:hAnsiTheme="majorHAnsi" w:cs="V&amp;W Syntax (Adobe)"/>
                <w:color w:val="000000"/>
                <w:lang w:val="en-US"/>
              </w:rPr>
            </w:pPr>
          </w:p>
          <w:p w:rsidR="0039217F" w:rsidRPr="0039217F" w:rsidRDefault="0039217F" w:rsidP="0039217F">
            <w:pPr>
              <w:spacing w:line="240" w:lineRule="atLeast"/>
              <w:ind w:left="228" w:hanging="228"/>
              <w:rPr>
                <w:rFonts w:asciiTheme="majorHAnsi" w:hAnsiTheme="majorHAnsi" w:cs="V&amp;W Syntax (Adobe)"/>
                <w:color w:val="000000"/>
              </w:rPr>
            </w:pPr>
            <w:r>
              <w:rPr>
                <w:rFonts w:asciiTheme="majorHAnsi" w:hAnsiTheme="majorHAnsi"/>
                <w:color w:val="000000"/>
                <w:lang w:val="en-GB"/>
              </w:rPr>
              <w:t xml:space="preserve">5.2.2 Sustainability </w:t>
            </w:r>
            <w:r>
              <w:rPr>
                <w:rFonts w:asciiTheme="majorHAnsi" w:hAnsiTheme="majorHAnsi"/>
                <w:b/>
                <w:bCs/>
                <w:i/>
                <w:iCs/>
                <w:vanish/>
                <w:color w:val="000000"/>
              </w:rPr>
              <w:t>Benoemde activiteit/VTW’s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217F" w:rsidRPr="007C64CC" w:rsidRDefault="0039217F" w:rsidP="0039217F">
            <w:pPr>
              <w:rPr>
                <w:rFonts w:asciiTheme="majorHAnsi" w:eastAsia="Times New Roman" w:hAnsiTheme="majorHAnsi" w:cs="Arial"/>
                <w:lang w:val="en-US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 xml:space="preserve">2.1 Social Return via the RWS </w:t>
            </w:r>
            <w:proofErr w:type="spellStart"/>
            <w:r>
              <w:rPr>
                <w:rFonts w:asciiTheme="majorHAnsi" w:eastAsia="Times New Roman" w:hAnsiTheme="majorHAnsi" w:cs="Arial"/>
                <w:i/>
                <w:iCs/>
                <w:lang w:val="en-GB"/>
              </w:rPr>
              <w:t>Groeituin</w:t>
            </w:r>
            <w:proofErr w:type="spellEnd"/>
            <w:r>
              <w:rPr>
                <w:rFonts w:asciiTheme="majorHAnsi" w:eastAsia="Times New Roman" w:hAnsiTheme="majorHAnsi" w:cs="Arial"/>
                <w:lang w:val="en-GB"/>
              </w:rPr>
              <w:t xml:space="preserve"> </w:t>
            </w:r>
          </w:p>
        </w:tc>
        <w:tc>
          <w:tcPr>
            <w:tcW w:w="6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4" w:rsidRPr="007C64CC" w:rsidRDefault="00B65A44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(this concerns the extra effort in respect of social return)</w:t>
            </w:r>
          </w:p>
          <w:p w:rsidR="00B65A44" w:rsidRPr="007C64CC" w:rsidRDefault="00B65A44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4% social return value</w:t>
            </w: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39217F" w:rsidP="00B65A44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5% social return value</w:t>
            </w:r>
          </w:p>
        </w:tc>
      </w:tr>
      <w:tr w:rsidR="0039217F" w:rsidRPr="0039217F" w:rsidTr="007571A0">
        <w:trPr>
          <w:cantSplit/>
        </w:trPr>
        <w:tc>
          <w:tcPr>
            <w:tcW w:w="313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9217F" w:rsidRPr="007C64CC" w:rsidRDefault="0039217F" w:rsidP="0039217F">
            <w:pPr>
              <w:spacing w:line="240" w:lineRule="atLeast"/>
              <w:ind w:left="228" w:hanging="228"/>
              <w:rPr>
                <w:rFonts w:asciiTheme="majorHAnsi" w:hAnsiTheme="majorHAnsi" w:cs="V&amp;W Syntax (Adobe)"/>
                <w:color w:val="00000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217F" w:rsidRPr="0039217F" w:rsidRDefault="0039217F" w:rsidP="0039217F">
            <w:pPr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>2.2 Power ≤4 W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17F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power &gt; 4.0 W</w:t>
            </w:r>
          </w:p>
          <w:p w:rsidR="007571A0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</w:p>
          <w:p w:rsidR="0039217F" w:rsidRPr="0039217F" w:rsidRDefault="0039217F" w:rsidP="00B65A44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power ≤ 4.0 W</w:t>
            </w:r>
          </w:p>
        </w:tc>
      </w:tr>
      <w:tr w:rsidR="0039217F" w:rsidRPr="007C64CC" w:rsidTr="007571A0">
        <w:trPr>
          <w:cantSplit/>
        </w:trPr>
        <w:tc>
          <w:tcPr>
            <w:tcW w:w="31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spacing w:line="240" w:lineRule="atLeast"/>
              <w:ind w:left="228" w:hanging="228"/>
              <w:rPr>
                <w:rFonts w:asciiTheme="majorHAnsi" w:hAnsiTheme="majorHAnsi" w:cs="V&amp;W Syntax (Adobe)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9217F" w:rsidRPr="0039217F" w:rsidRDefault="0039217F" w:rsidP="0039217F">
            <w:pPr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  <w:lang w:val="en-GB"/>
              </w:rPr>
              <w:t xml:space="preserve">2.3 Aspects in the chain 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17F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International Social Conditions (ISC) for Contract text A</w:t>
            </w: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7571A0" w:rsidP="00B65A44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International Social Conditions (ISC) for Contract text AB</w:t>
            </w:r>
          </w:p>
        </w:tc>
      </w:tr>
      <w:tr w:rsidR="0039217F" w:rsidRPr="007C64CC" w:rsidTr="007571A0">
        <w:trPr>
          <w:cantSplit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217F" w:rsidRPr="0039217F" w:rsidRDefault="0039217F" w:rsidP="0039217F">
            <w:pPr>
              <w:tabs>
                <w:tab w:val="num" w:pos="201"/>
              </w:tabs>
              <w:spacing w:before="60" w:after="60" w:line="240" w:lineRule="atLeast"/>
              <w:contextualSpacing/>
              <w:rPr>
                <w:rFonts w:asciiTheme="majorHAnsi" w:hAnsiTheme="majorHAnsi" w:cs="V&amp;W Syntax (Adobe)"/>
                <w:color w:val="000000"/>
              </w:rPr>
            </w:pPr>
            <w:r>
              <w:rPr>
                <w:rFonts w:asciiTheme="majorHAnsi" w:hAnsiTheme="majorHAnsi" w:cs="V&amp;W Syntax (Adobe)"/>
                <w:color w:val="000000"/>
                <w:lang w:val="en-GB"/>
              </w:rPr>
              <w:t>5.2.3 Services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7F" w:rsidRPr="0039217F" w:rsidRDefault="0039217F" w:rsidP="00C31000">
            <w:pPr>
              <w:spacing w:before="60" w:after="60" w:line="240" w:lineRule="atLeast"/>
              <w:ind w:left="-51"/>
              <w:rPr>
                <w:rFonts w:asciiTheme="majorHAnsi" w:hAnsiTheme="majorHAnsi" w:cs="V&amp;W Syntax (Adobe)"/>
                <w:color w:val="000000"/>
              </w:rPr>
            </w:pPr>
            <w:r>
              <w:rPr>
                <w:rFonts w:asciiTheme="majorHAnsi" w:hAnsiTheme="majorHAnsi" w:cs="V&amp;W Syntax (Adobe)"/>
                <w:color w:val="000000"/>
                <w:lang w:val="en-GB"/>
              </w:rPr>
              <w:t xml:space="preserve">3.1 Efficient services 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4" w:rsidRPr="007C64CC" w:rsidRDefault="00B65A44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(both answers are possible)</w:t>
            </w:r>
          </w:p>
          <w:p w:rsidR="00B65A44" w:rsidRPr="007C64CC" w:rsidRDefault="00B65A44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39217F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>The Tenderer is established in an EU country as well as being within a radius of 400 km from Delft, the Netherlands</w:t>
            </w: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  <w:p w:rsidR="007571A0" w:rsidRPr="007C64CC" w:rsidRDefault="007571A0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all communications between the Tenderer and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lang w:val="en-GB"/>
              </w:rPr>
              <w:t>Rijkswaterstaat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lang w:val="en-GB"/>
              </w:rPr>
              <w:t xml:space="preserve"> regarding services is conducted in the Dutch language (with the exception of technical documentation).</w:t>
            </w:r>
          </w:p>
          <w:p w:rsidR="0039217F" w:rsidRPr="007C64CC" w:rsidRDefault="0039217F" w:rsidP="0039217F">
            <w:pPr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</w:p>
        </w:tc>
      </w:tr>
    </w:tbl>
    <w:p w:rsidR="0039217F" w:rsidRPr="007C64CC" w:rsidRDefault="0039217F" w:rsidP="0039217F">
      <w:pPr>
        <w:spacing w:after="120" w:line="240" w:lineRule="atLeast"/>
        <w:rPr>
          <w:rFonts w:ascii="Verdana" w:hAnsi="Verdana" w:cs="V&amp;W Syntax (Adobe)"/>
          <w:b/>
          <w:bCs/>
          <w:color w:val="000000"/>
          <w:lang w:val="en-US"/>
        </w:rPr>
      </w:pPr>
    </w:p>
    <w:sectPr w:rsidR="0039217F" w:rsidRPr="007C64CC" w:rsidSect="00392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7F" w:rsidRDefault="0039217F" w:rsidP="0088501B">
      <w:r>
        <w:separator/>
      </w:r>
    </w:p>
  </w:endnote>
  <w:endnote w:type="continuationSeparator" w:id="0">
    <w:p w:rsidR="0039217F" w:rsidRDefault="0039217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7F" w:rsidRDefault="0039217F" w:rsidP="0088501B">
      <w:r>
        <w:separator/>
      </w:r>
    </w:p>
  </w:footnote>
  <w:footnote w:type="continuationSeparator" w:id="0">
    <w:p w:rsidR="0039217F" w:rsidRDefault="0039217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7F"/>
    <w:rsid w:val="00043163"/>
    <w:rsid w:val="00056D70"/>
    <w:rsid w:val="000B3F94"/>
    <w:rsid w:val="000E1F3B"/>
    <w:rsid w:val="00173156"/>
    <w:rsid w:val="001D6F03"/>
    <w:rsid w:val="00211AE1"/>
    <w:rsid w:val="002A6578"/>
    <w:rsid w:val="002B1092"/>
    <w:rsid w:val="002E0FD2"/>
    <w:rsid w:val="0038549E"/>
    <w:rsid w:val="0039217F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571A0"/>
    <w:rsid w:val="007C64CC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65A44"/>
    <w:rsid w:val="00B72222"/>
    <w:rsid w:val="00B80650"/>
    <w:rsid w:val="00C31000"/>
    <w:rsid w:val="00C36FAA"/>
    <w:rsid w:val="00C71133"/>
    <w:rsid w:val="00CA55CC"/>
    <w:rsid w:val="00CB3317"/>
    <w:rsid w:val="00DA3555"/>
    <w:rsid w:val="00E449A8"/>
    <w:rsid w:val="00E456EE"/>
    <w:rsid w:val="00E84F7C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20567D"/>
  <w15:chartTrackingRefBased/>
  <w15:docId w15:val="{4B97099E-D06B-4AC2-9A54-BECE530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Arendse-Koopman, Christine (CIV)</dc:creator>
  <cp:keywords/>
  <dc:description/>
  <cp:lastModifiedBy>Arendse-Koopman, Christine (CIV)</cp:lastModifiedBy>
  <cp:revision>3</cp:revision>
  <dcterms:created xsi:type="dcterms:W3CDTF">2024-02-26T15:15:00Z</dcterms:created>
  <dcterms:modified xsi:type="dcterms:W3CDTF">2024-02-26T15:18:00Z</dcterms:modified>
</cp:coreProperties>
</file>