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94A4"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0BFB37A4" w14:textId="77777777" w:rsidR="004963A8" w:rsidRPr="004963A8" w:rsidRDefault="004963A8" w:rsidP="004963A8"/>
    <w:p w14:paraId="6833ADCF" w14:textId="142210B1" w:rsidR="003E6889" w:rsidRPr="001C11C8" w:rsidRDefault="00A56595" w:rsidP="001C11C8">
      <w:pPr>
        <w:pStyle w:val="Normaalweb"/>
        <w:rPr>
          <w:i/>
          <w:iCs/>
        </w:rPr>
      </w:pPr>
      <w:r w:rsidRPr="001C11C8">
        <w:rPr>
          <w:rFonts w:asciiTheme="majorHAnsi" w:hAnsiTheme="majorHAnsi"/>
          <w:i/>
          <w:iCs/>
        </w:rPr>
        <w:t xml:space="preserve">Behorende bij de </w:t>
      </w:r>
      <w:r w:rsidR="004F3232" w:rsidRPr="001C11C8">
        <w:rPr>
          <w:rFonts w:asciiTheme="majorHAnsi" w:hAnsiTheme="majorHAnsi"/>
          <w:i/>
          <w:iCs/>
        </w:rPr>
        <w:t xml:space="preserve">Raamovereenkomst </w:t>
      </w:r>
      <w:r w:rsidR="00746208" w:rsidRPr="001C11C8">
        <w:rPr>
          <w:rFonts w:asciiTheme="majorHAnsi" w:hAnsiTheme="majorHAnsi"/>
          <w:i/>
          <w:iCs/>
        </w:rPr>
        <w:t xml:space="preserve">Europese </w:t>
      </w:r>
      <w:r w:rsidRPr="001C11C8">
        <w:rPr>
          <w:rFonts w:asciiTheme="majorHAnsi" w:hAnsiTheme="majorHAnsi"/>
          <w:i/>
          <w:iCs/>
        </w:rPr>
        <w:t xml:space="preserve">Aanbesteding </w:t>
      </w:r>
      <w:r w:rsidR="001C11C8" w:rsidRPr="001C11C8">
        <w:rPr>
          <w:rFonts w:ascii="Calibri" w:hAnsi="Calibri" w:cs="Calibri"/>
          <w:i/>
          <w:iCs/>
          <w:sz w:val="22"/>
          <w:szCs w:val="22"/>
        </w:rPr>
        <w:t>OLP.OIGJS2023.</w:t>
      </w:r>
      <w:proofErr w:type="gramStart"/>
      <w:r w:rsidR="001C11C8" w:rsidRPr="001C11C8">
        <w:rPr>
          <w:rFonts w:ascii="Calibri" w:hAnsi="Calibri" w:cs="Calibri"/>
          <w:i/>
          <w:iCs/>
          <w:sz w:val="22"/>
          <w:szCs w:val="22"/>
        </w:rPr>
        <w:t>29.PRISMA</w:t>
      </w:r>
      <w:proofErr w:type="gramEnd"/>
      <w:r w:rsidR="001C11C8" w:rsidRPr="001C11C8">
        <w:rPr>
          <w:rFonts w:ascii="Calibri" w:hAnsi="Calibri" w:cs="Calibri"/>
          <w:i/>
          <w:iCs/>
          <w:sz w:val="22"/>
          <w:szCs w:val="22"/>
        </w:rPr>
        <w:t xml:space="preserve"> </w:t>
      </w:r>
    </w:p>
    <w:p w14:paraId="219FCB86"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0A4F87AF"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2814FA4D" w14:textId="77777777" w:rsidR="009E3C68" w:rsidRPr="003008A8" w:rsidRDefault="009E3C68" w:rsidP="009E3C68">
      <w:pPr>
        <w:rPr>
          <w:rFonts w:asciiTheme="majorHAnsi" w:hAnsiTheme="majorHAnsi"/>
        </w:rPr>
      </w:pPr>
    </w:p>
    <w:p w14:paraId="47D31884"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086050CE"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7208A1EF" w14:textId="77777777" w:rsidR="009E3C68" w:rsidRPr="003008A8" w:rsidRDefault="009E3C68" w:rsidP="009E3C68">
      <w:pPr>
        <w:rPr>
          <w:rFonts w:asciiTheme="majorHAnsi" w:hAnsiTheme="majorHAnsi"/>
        </w:rPr>
      </w:pPr>
    </w:p>
    <w:p w14:paraId="50394961"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40C0FC4F" w14:textId="77777777" w:rsidR="004963A8" w:rsidRPr="00006F43" w:rsidRDefault="004963A8" w:rsidP="004963A8">
      <w:pPr>
        <w:rPr>
          <w:rFonts w:asciiTheme="majorHAnsi" w:hAnsiTheme="majorHAnsi"/>
        </w:rPr>
      </w:pPr>
    </w:p>
    <w:p w14:paraId="469C3605"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71D1370E" w14:textId="77777777" w:rsidR="004963A8" w:rsidRPr="00006F43" w:rsidRDefault="004963A8" w:rsidP="004963A8">
      <w:pPr>
        <w:rPr>
          <w:rFonts w:asciiTheme="majorHAnsi" w:hAnsiTheme="majorHAnsi"/>
        </w:rPr>
      </w:pPr>
    </w:p>
    <w:p w14:paraId="0239FABE"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0554F8CF" w14:textId="77777777" w:rsidR="00D7139A" w:rsidRPr="003008A8" w:rsidRDefault="00D7139A" w:rsidP="00D7139A">
      <w:pPr>
        <w:rPr>
          <w:rFonts w:asciiTheme="majorHAnsi" w:hAnsiTheme="majorHAnsi"/>
        </w:rPr>
      </w:pPr>
    </w:p>
    <w:p w14:paraId="27D9D00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6A0D86A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3F4810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7606304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6677B62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1993578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44917E5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1CA9384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22E0159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09A924F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38FCBD4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52F7001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68CAAF38" w14:textId="77777777" w:rsidR="00D7139A" w:rsidRPr="003008A8" w:rsidRDefault="00D7139A" w:rsidP="00D7139A">
      <w:pPr>
        <w:rPr>
          <w:rFonts w:asciiTheme="majorHAnsi" w:hAnsiTheme="majorHAnsi"/>
        </w:rPr>
      </w:pPr>
    </w:p>
    <w:p w14:paraId="7ED3F5A9" w14:textId="77777777" w:rsidR="001C11C8" w:rsidRDefault="001C11C8" w:rsidP="005B093B">
      <w:pPr>
        <w:rPr>
          <w:rFonts w:asciiTheme="majorHAnsi" w:hAnsiTheme="majorHAnsi"/>
          <w:i/>
          <w:iCs/>
        </w:rPr>
      </w:pPr>
    </w:p>
    <w:p w14:paraId="038BC4E2" w14:textId="77777777" w:rsidR="001C11C8" w:rsidRDefault="001C11C8" w:rsidP="005B093B">
      <w:pPr>
        <w:rPr>
          <w:rFonts w:asciiTheme="majorHAnsi" w:hAnsiTheme="majorHAnsi"/>
          <w:i/>
          <w:iCs/>
        </w:rPr>
      </w:pPr>
    </w:p>
    <w:p w14:paraId="1BA8120C" w14:textId="77777777" w:rsidR="001C11C8" w:rsidRDefault="001C11C8" w:rsidP="005B093B">
      <w:pPr>
        <w:rPr>
          <w:rFonts w:asciiTheme="majorHAnsi" w:hAnsiTheme="majorHAnsi"/>
          <w:i/>
          <w:iCs/>
        </w:rPr>
      </w:pPr>
    </w:p>
    <w:p w14:paraId="42B0DAC6" w14:textId="240CD730" w:rsidR="005B093B" w:rsidRPr="00006F43" w:rsidRDefault="005B093B" w:rsidP="005B093B">
      <w:pPr>
        <w:rPr>
          <w:rFonts w:asciiTheme="majorHAnsi" w:hAnsiTheme="majorHAnsi"/>
        </w:rPr>
      </w:pPr>
      <w:r w:rsidRPr="00AA651F">
        <w:rPr>
          <w:rFonts w:asciiTheme="majorHAnsi" w:hAnsiTheme="majorHAnsi"/>
          <w:i/>
          <w:iCs/>
        </w:rPr>
        <w:lastRenderedPageBreak/>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15C5B932" w14:textId="77777777" w:rsidR="005B093B" w:rsidRPr="005B093B" w:rsidRDefault="005B093B" w:rsidP="00D7139A">
      <w:pPr>
        <w:rPr>
          <w:rFonts w:asciiTheme="majorHAnsi" w:hAnsiTheme="majorHAnsi"/>
          <w:iCs/>
        </w:rPr>
      </w:pPr>
    </w:p>
    <w:p w14:paraId="5D5E6FC8"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0AF3237A" w14:textId="77777777" w:rsidR="00D7139A" w:rsidRPr="003008A8" w:rsidRDefault="00D7139A" w:rsidP="00D7139A">
      <w:pPr>
        <w:rPr>
          <w:rFonts w:asciiTheme="majorHAnsi" w:hAnsiTheme="majorHAnsi"/>
        </w:rPr>
      </w:pPr>
    </w:p>
    <w:p w14:paraId="2CA4AE4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44BF958A"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04D8B99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09554D6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2887E11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7FD39D7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744D34E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50F344D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1FA45AC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7F3C1F8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4092223C" w14:textId="77777777" w:rsidR="009E3C68" w:rsidRPr="003008A8" w:rsidRDefault="009E3C68" w:rsidP="009E3C68">
      <w:pPr>
        <w:rPr>
          <w:rFonts w:asciiTheme="majorHAnsi" w:hAnsiTheme="majorHAnsi"/>
        </w:rPr>
      </w:pPr>
    </w:p>
    <w:p w14:paraId="41382772"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224E1D7A"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29CD9BBA" w14:textId="77777777" w:rsidR="009E3C68" w:rsidRPr="003008A8" w:rsidRDefault="009E3C68" w:rsidP="009E3C68">
      <w:pPr>
        <w:rPr>
          <w:rFonts w:asciiTheme="majorHAnsi" w:hAnsiTheme="majorHAnsi"/>
        </w:rPr>
      </w:pPr>
    </w:p>
    <w:p w14:paraId="4FDBF03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439AFF9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2C4C11A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7D4D3C2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1709AF3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69946F6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7E83B89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E4E16D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34CFB5D6"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1F7FAA43"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7FB385CE" w14:textId="77777777" w:rsidR="009E3C68" w:rsidRPr="003008A8" w:rsidRDefault="009E3C68" w:rsidP="009E3C68">
      <w:pPr>
        <w:rPr>
          <w:rFonts w:asciiTheme="majorHAnsi" w:hAnsiTheme="majorHAnsi"/>
        </w:rPr>
      </w:pPr>
    </w:p>
    <w:p w14:paraId="25213C41"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07114C61" w14:textId="77777777" w:rsidR="009E3C68" w:rsidRPr="003008A8" w:rsidRDefault="009E3C68" w:rsidP="009E3C68">
      <w:pPr>
        <w:rPr>
          <w:rFonts w:asciiTheme="majorHAnsi" w:hAnsiTheme="majorHAnsi"/>
        </w:rPr>
      </w:pPr>
    </w:p>
    <w:p w14:paraId="3DABD2A5"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03BCE0A2" w14:textId="77777777" w:rsidR="009E3C68" w:rsidRPr="003008A8" w:rsidRDefault="009E3C68" w:rsidP="009E3C68">
      <w:pPr>
        <w:rPr>
          <w:rFonts w:asciiTheme="majorHAnsi" w:hAnsiTheme="majorHAnsi"/>
        </w:rPr>
      </w:pPr>
    </w:p>
    <w:p w14:paraId="00024E6B"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73870EBF"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1F4DB837"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03A0DCF1"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4D48BD8D" w14:textId="77777777" w:rsidR="009E3C68" w:rsidRPr="003008A8" w:rsidRDefault="009E3C68" w:rsidP="009E3C68">
      <w:pPr>
        <w:rPr>
          <w:rFonts w:asciiTheme="majorHAnsi" w:hAnsiTheme="majorHAnsi"/>
        </w:rPr>
      </w:pPr>
    </w:p>
    <w:p w14:paraId="7A9CA64E"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66A5079A" w14:textId="77777777" w:rsidR="009E3C68" w:rsidRPr="003008A8" w:rsidRDefault="009E3C68" w:rsidP="009E3C68">
      <w:pPr>
        <w:pStyle w:val="Kop1"/>
        <w:rPr>
          <w:color w:val="auto"/>
          <w:szCs w:val="22"/>
        </w:rPr>
      </w:pPr>
      <w:r w:rsidRPr="003008A8">
        <w:rPr>
          <w:color w:val="auto"/>
          <w:szCs w:val="22"/>
        </w:rPr>
        <w:t>6.3. Zichtzendingen</w:t>
      </w:r>
      <w:bookmarkEnd w:id="4"/>
    </w:p>
    <w:p w14:paraId="64219628" w14:textId="77777777" w:rsidR="009E3C68" w:rsidRPr="003008A8" w:rsidRDefault="009E3C68" w:rsidP="009E3C68">
      <w:pPr>
        <w:rPr>
          <w:rFonts w:asciiTheme="majorHAnsi" w:hAnsiTheme="majorHAnsi"/>
        </w:rPr>
      </w:pPr>
    </w:p>
    <w:p w14:paraId="5A82D8FE" w14:textId="77777777" w:rsidR="001C11C8" w:rsidRDefault="009E3C68" w:rsidP="001C11C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bookmarkStart w:id="5" w:name="_Toc232589980"/>
    </w:p>
    <w:p w14:paraId="5D6E84FB" w14:textId="77777777" w:rsidR="001C11C8" w:rsidRDefault="001C11C8" w:rsidP="001C11C8">
      <w:pPr>
        <w:rPr>
          <w:rFonts w:asciiTheme="majorHAnsi" w:hAnsiTheme="majorHAnsi"/>
        </w:rPr>
      </w:pPr>
    </w:p>
    <w:p w14:paraId="77B76F15" w14:textId="68CB61A9" w:rsidR="009E3C68" w:rsidRPr="001C11C8" w:rsidRDefault="009E3C68" w:rsidP="001C11C8">
      <w:pPr>
        <w:rPr>
          <w:rFonts w:asciiTheme="majorHAnsi" w:hAnsiTheme="majorHAnsi" w:cstheme="majorHAnsi"/>
          <w:b/>
          <w:bCs/>
        </w:rPr>
      </w:pPr>
      <w:r w:rsidRPr="001C11C8">
        <w:rPr>
          <w:rFonts w:asciiTheme="majorHAnsi" w:hAnsiTheme="majorHAnsi" w:cstheme="majorHAnsi"/>
          <w:b/>
          <w:bCs/>
        </w:rPr>
        <w:t>6.4. Webshop</w:t>
      </w:r>
      <w:bookmarkEnd w:id="5"/>
    </w:p>
    <w:p w14:paraId="532D7250" w14:textId="77777777" w:rsidR="009E3C68" w:rsidRPr="003008A8" w:rsidRDefault="009E3C68" w:rsidP="009E3C68">
      <w:pPr>
        <w:rPr>
          <w:rFonts w:asciiTheme="majorHAnsi" w:hAnsiTheme="majorHAnsi"/>
        </w:rPr>
      </w:pPr>
    </w:p>
    <w:p w14:paraId="1187404E"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0CBAB0A1" w14:textId="77777777" w:rsidR="004963A8" w:rsidRPr="00006F43" w:rsidRDefault="004963A8" w:rsidP="004963A8">
      <w:pPr>
        <w:rPr>
          <w:rFonts w:asciiTheme="majorHAnsi" w:hAnsiTheme="majorHAnsi"/>
        </w:rPr>
      </w:pPr>
    </w:p>
    <w:p w14:paraId="7116BE1E"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1088767E"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5E368156"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6C0C979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3A210D9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2112620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59482F30"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147338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6391B6B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681C369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1D664493" w14:textId="77777777" w:rsidR="009E3C68" w:rsidRPr="003008A8" w:rsidRDefault="009E3C68" w:rsidP="009E3C68">
      <w:pPr>
        <w:rPr>
          <w:rFonts w:asciiTheme="majorHAnsi" w:hAnsiTheme="majorHAnsi"/>
        </w:rPr>
      </w:pPr>
    </w:p>
    <w:p w14:paraId="77618474"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73235A29"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2E46D932" w14:textId="77777777" w:rsidR="009E3C68" w:rsidRPr="003008A8" w:rsidRDefault="009E3C68" w:rsidP="009E3C68">
      <w:pPr>
        <w:rPr>
          <w:rFonts w:asciiTheme="majorHAnsi" w:hAnsiTheme="majorHAnsi"/>
        </w:rPr>
      </w:pPr>
    </w:p>
    <w:p w14:paraId="6F072835"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009E5951"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55D526CE"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6D3E976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15427B26"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327B0DB0" w14:textId="77777777" w:rsidR="004963A8" w:rsidRDefault="004963A8" w:rsidP="004963A8">
      <w:pPr>
        <w:rPr>
          <w:rFonts w:asciiTheme="majorHAnsi" w:hAnsiTheme="majorHAnsi"/>
        </w:rPr>
      </w:pPr>
      <w:r w:rsidRPr="00006F43">
        <w:rPr>
          <w:rFonts w:asciiTheme="majorHAnsi" w:hAnsiTheme="majorHAnsi"/>
        </w:rPr>
        <w:lastRenderedPageBreak/>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6209F920" w14:textId="77777777" w:rsidR="001C11C8" w:rsidRDefault="001C11C8" w:rsidP="001C11C8">
      <w:pPr>
        <w:rPr>
          <w:rFonts w:asciiTheme="majorHAnsi" w:hAnsiTheme="majorHAnsi"/>
        </w:rPr>
      </w:pPr>
      <w:bookmarkStart w:id="9" w:name="_Toc232589984"/>
    </w:p>
    <w:p w14:paraId="77F43B06" w14:textId="0F2D906A" w:rsidR="009E3C68" w:rsidRPr="001C11C8" w:rsidRDefault="009E3C68" w:rsidP="001C11C8">
      <w:pPr>
        <w:rPr>
          <w:rFonts w:asciiTheme="majorHAnsi" w:hAnsiTheme="majorHAnsi" w:cstheme="majorHAnsi"/>
          <w:b/>
          <w:bCs/>
        </w:rPr>
      </w:pPr>
      <w:r w:rsidRPr="001C11C8">
        <w:rPr>
          <w:rFonts w:asciiTheme="majorHAnsi" w:hAnsiTheme="majorHAnsi" w:cstheme="majorHAnsi"/>
          <w:b/>
          <w:bCs/>
        </w:rPr>
        <w:t>6.8. Levertijd</w:t>
      </w:r>
      <w:bookmarkEnd w:id="9"/>
    </w:p>
    <w:p w14:paraId="6F894F29" w14:textId="77777777" w:rsidR="009E3C68" w:rsidRPr="003008A8" w:rsidRDefault="009E3C68" w:rsidP="009E3C68">
      <w:pPr>
        <w:rPr>
          <w:rFonts w:asciiTheme="majorHAnsi" w:hAnsiTheme="majorHAnsi"/>
        </w:rPr>
      </w:pPr>
    </w:p>
    <w:p w14:paraId="01AECD03"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29FB9BF8" w14:textId="77777777" w:rsidR="004963A8" w:rsidRPr="00006F43" w:rsidRDefault="004963A8" w:rsidP="004963A8">
      <w:pPr>
        <w:rPr>
          <w:rFonts w:asciiTheme="majorHAnsi" w:hAnsiTheme="majorHAnsi"/>
        </w:rPr>
      </w:pPr>
    </w:p>
    <w:p w14:paraId="349B558F"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462E1EF9" w14:textId="77777777" w:rsidR="009E3C68" w:rsidRPr="003008A8" w:rsidRDefault="009E3C68" w:rsidP="009E3C68">
      <w:pPr>
        <w:pStyle w:val="Kop1"/>
        <w:rPr>
          <w:color w:val="auto"/>
          <w:szCs w:val="22"/>
        </w:rPr>
      </w:pPr>
      <w:r w:rsidRPr="003008A8">
        <w:rPr>
          <w:color w:val="auto"/>
          <w:szCs w:val="22"/>
        </w:rPr>
        <w:t>6.9. (Logistieke) Vergoeding</w:t>
      </w:r>
      <w:bookmarkEnd w:id="10"/>
    </w:p>
    <w:p w14:paraId="72670FFE" w14:textId="77777777" w:rsidR="009E3C68" w:rsidRPr="003008A8" w:rsidRDefault="009E3C68" w:rsidP="009E3C68">
      <w:pPr>
        <w:rPr>
          <w:rFonts w:asciiTheme="majorHAnsi" w:hAnsiTheme="majorHAnsi"/>
        </w:rPr>
      </w:pPr>
    </w:p>
    <w:p w14:paraId="76DD85CC"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B62CD22" w14:textId="77777777" w:rsidR="009E3C68" w:rsidRPr="003008A8" w:rsidRDefault="009E3C68" w:rsidP="009E3C68">
      <w:pPr>
        <w:pStyle w:val="Kop1"/>
        <w:rPr>
          <w:color w:val="auto"/>
          <w:szCs w:val="22"/>
        </w:rPr>
      </w:pPr>
      <w:r w:rsidRPr="003008A8">
        <w:rPr>
          <w:color w:val="auto"/>
          <w:szCs w:val="22"/>
        </w:rPr>
        <w:t>6.10. Retourprocedure</w:t>
      </w:r>
      <w:bookmarkEnd w:id="11"/>
    </w:p>
    <w:p w14:paraId="08646C18" w14:textId="77777777" w:rsidR="009E3C68" w:rsidRPr="003008A8" w:rsidRDefault="009E3C68" w:rsidP="009E3C68">
      <w:pPr>
        <w:rPr>
          <w:rFonts w:asciiTheme="majorHAnsi" w:hAnsiTheme="majorHAnsi"/>
        </w:rPr>
      </w:pPr>
    </w:p>
    <w:p w14:paraId="0F9386ED"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29ABDA09" w14:textId="77777777" w:rsidR="004963A8" w:rsidRPr="00006F43" w:rsidRDefault="004963A8" w:rsidP="004963A8">
      <w:pPr>
        <w:rPr>
          <w:rFonts w:asciiTheme="majorHAnsi" w:hAnsiTheme="majorHAnsi"/>
        </w:rPr>
      </w:pPr>
    </w:p>
    <w:p w14:paraId="40D85DFE"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79AA121" w14:textId="77777777" w:rsidR="009E3C68" w:rsidRPr="003008A8" w:rsidRDefault="009E3C68" w:rsidP="009E3C68">
      <w:pPr>
        <w:pStyle w:val="Kop1"/>
        <w:rPr>
          <w:color w:val="auto"/>
          <w:szCs w:val="22"/>
        </w:rPr>
      </w:pPr>
      <w:r w:rsidRPr="003008A8">
        <w:rPr>
          <w:color w:val="auto"/>
          <w:szCs w:val="22"/>
        </w:rPr>
        <w:t>6.11. Facturering</w:t>
      </w:r>
      <w:bookmarkEnd w:id="12"/>
    </w:p>
    <w:p w14:paraId="12245040"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162751E3"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D7D3280"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47074BD1" w14:textId="77777777" w:rsidR="009E3C68" w:rsidRPr="003008A8" w:rsidRDefault="009E3C68" w:rsidP="009E3C68">
      <w:pPr>
        <w:rPr>
          <w:rFonts w:asciiTheme="majorHAnsi" w:hAnsiTheme="majorHAnsi"/>
        </w:rPr>
      </w:pPr>
    </w:p>
    <w:p w14:paraId="7DF45961"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2215D0E1" w14:textId="77777777" w:rsidR="009E3C68" w:rsidRPr="003008A8" w:rsidRDefault="009E3C68" w:rsidP="009E3C68">
      <w:pPr>
        <w:rPr>
          <w:rFonts w:asciiTheme="majorHAnsi" w:hAnsiTheme="majorHAnsi"/>
        </w:rPr>
      </w:pPr>
    </w:p>
    <w:p w14:paraId="39FB1E48"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71C58220" w14:textId="77777777" w:rsidR="009E3C68" w:rsidRPr="003008A8" w:rsidRDefault="009E3C68" w:rsidP="009E3C68">
      <w:pPr>
        <w:rPr>
          <w:rFonts w:asciiTheme="majorHAnsi" w:hAnsiTheme="majorHAnsi"/>
        </w:rPr>
      </w:pPr>
    </w:p>
    <w:p w14:paraId="411DFAE3"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362EBAA5"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39BB2029"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5ACDA50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1E40D91C"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38D5B94D"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7A32864D" w14:textId="77777777" w:rsidR="009E3C68" w:rsidRPr="003008A8" w:rsidRDefault="009E3C68" w:rsidP="009E3C68">
      <w:pPr>
        <w:rPr>
          <w:rFonts w:asciiTheme="majorHAnsi" w:hAnsiTheme="majorHAnsi"/>
        </w:rPr>
      </w:pPr>
    </w:p>
    <w:p w14:paraId="7F57352D"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4F9FED44" w14:textId="77777777" w:rsidR="009E3C68" w:rsidRPr="003008A8" w:rsidRDefault="009E3C68" w:rsidP="009E3C68">
      <w:pPr>
        <w:rPr>
          <w:rFonts w:asciiTheme="majorHAnsi" w:hAnsiTheme="majorHAnsi"/>
        </w:rPr>
      </w:pPr>
    </w:p>
    <w:p w14:paraId="455E3586"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4A383E21"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6AB459C4" w14:textId="77777777" w:rsidR="009E3C68" w:rsidRPr="003008A8" w:rsidRDefault="009E3C68" w:rsidP="009E3C68">
      <w:pPr>
        <w:rPr>
          <w:rFonts w:asciiTheme="majorHAnsi" w:hAnsiTheme="majorHAnsi"/>
        </w:rPr>
      </w:pPr>
    </w:p>
    <w:p w14:paraId="23E4B5FB"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182628BD" w14:textId="77777777" w:rsidR="009E3C68" w:rsidRPr="003008A8" w:rsidRDefault="009E3C68" w:rsidP="009E3C68">
      <w:pPr>
        <w:rPr>
          <w:rFonts w:asciiTheme="majorHAnsi" w:hAnsiTheme="majorHAnsi"/>
        </w:rPr>
      </w:pPr>
    </w:p>
    <w:p w14:paraId="0AF5AA3D"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0D9095E5"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7ED31A59"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03A6D653" w14:textId="77777777" w:rsidR="009E3C68" w:rsidRPr="003008A8" w:rsidRDefault="009E3C68" w:rsidP="009E3C68">
      <w:pPr>
        <w:rPr>
          <w:rFonts w:asciiTheme="majorHAnsi" w:hAnsiTheme="majorHAnsi"/>
        </w:rPr>
      </w:pPr>
    </w:p>
    <w:p w14:paraId="3278E9B9"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63AB2131" w14:textId="77777777" w:rsidR="004963A8" w:rsidRPr="00006F43" w:rsidRDefault="004963A8" w:rsidP="004963A8">
      <w:pPr>
        <w:rPr>
          <w:rFonts w:asciiTheme="majorHAnsi" w:hAnsiTheme="majorHAnsi"/>
        </w:rPr>
      </w:pPr>
    </w:p>
    <w:p w14:paraId="37253D7A"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2AB441A5" w14:textId="77777777" w:rsidR="009E3C68" w:rsidRPr="003008A8" w:rsidRDefault="009E3C68" w:rsidP="009E3C68">
      <w:pPr>
        <w:pStyle w:val="Kop1"/>
        <w:rPr>
          <w:szCs w:val="22"/>
        </w:rPr>
      </w:pPr>
      <w:r w:rsidRPr="003008A8">
        <w:rPr>
          <w:szCs w:val="22"/>
        </w:rPr>
        <w:lastRenderedPageBreak/>
        <w:t>6.16. Leveringsvoorwaarden</w:t>
      </w:r>
      <w:bookmarkEnd w:id="17"/>
    </w:p>
    <w:p w14:paraId="604725FD" w14:textId="77777777" w:rsidR="009E3C68" w:rsidRPr="003008A8" w:rsidRDefault="009E3C68" w:rsidP="009E3C68">
      <w:pPr>
        <w:rPr>
          <w:rFonts w:asciiTheme="majorHAnsi" w:hAnsiTheme="majorHAnsi"/>
        </w:rPr>
      </w:pPr>
    </w:p>
    <w:p w14:paraId="24894CF4"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4259F1A6"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0F985250" w14:textId="77777777" w:rsidR="009E3C68" w:rsidRPr="003008A8" w:rsidRDefault="009E3C68" w:rsidP="009E3C68">
      <w:pPr>
        <w:rPr>
          <w:rFonts w:asciiTheme="majorHAnsi" w:hAnsiTheme="majorHAnsi"/>
        </w:rPr>
      </w:pPr>
    </w:p>
    <w:p w14:paraId="619A74D8"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7D815BA1" w14:textId="77777777" w:rsidR="003008A8" w:rsidRDefault="003008A8" w:rsidP="009E3C68">
      <w:pPr>
        <w:rPr>
          <w:rFonts w:asciiTheme="majorHAnsi" w:hAnsiTheme="majorHAnsi"/>
        </w:rPr>
      </w:pPr>
    </w:p>
    <w:p w14:paraId="66A53588" w14:textId="77777777" w:rsidR="003008A8" w:rsidRPr="003008A8" w:rsidRDefault="003008A8" w:rsidP="009E3C68">
      <w:pPr>
        <w:rPr>
          <w:rFonts w:asciiTheme="majorHAnsi" w:hAnsiTheme="majorHAnsi"/>
        </w:rPr>
      </w:pPr>
    </w:p>
    <w:p w14:paraId="6B03A0F5" w14:textId="77777777" w:rsidR="003008A8" w:rsidRPr="003008A8" w:rsidRDefault="003008A8" w:rsidP="003E6889">
      <w:pPr>
        <w:rPr>
          <w:rFonts w:asciiTheme="majorHAnsi" w:hAnsiTheme="majorHAnsi" w:cs="ScalaSans-Regular"/>
          <w:color w:val="000000"/>
        </w:rPr>
      </w:pPr>
    </w:p>
    <w:p w14:paraId="0542CF3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6F134BC3" w14:textId="77777777" w:rsidR="003E6889" w:rsidRDefault="003E6889" w:rsidP="003E6889">
      <w:pPr>
        <w:rPr>
          <w:rFonts w:asciiTheme="majorHAnsi" w:hAnsiTheme="majorHAnsi" w:cs="ScalaSans-Regular"/>
          <w:color w:val="000000"/>
        </w:rPr>
      </w:pPr>
    </w:p>
    <w:p w14:paraId="524E642F" w14:textId="77777777" w:rsidR="003008A8" w:rsidRDefault="003008A8" w:rsidP="003E6889">
      <w:pPr>
        <w:rPr>
          <w:rFonts w:asciiTheme="majorHAnsi" w:hAnsiTheme="majorHAnsi" w:cs="ScalaSans-Regular"/>
          <w:color w:val="000000"/>
        </w:rPr>
      </w:pPr>
    </w:p>
    <w:p w14:paraId="24665217"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04680F3B" w14:textId="77777777" w:rsidR="003E6889" w:rsidRDefault="003E6889" w:rsidP="003E6889">
      <w:pPr>
        <w:rPr>
          <w:rFonts w:asciiTheme="majorHAnsi" w:hAnsiTheme="majorHAnsi" w:cs="ScalaSans-Regular"/>
          <w:color w:val="000000"/>
        </w:rPr>
      </w:pPr>
    </w:p>
    <w:p w14:paraId="271CF9DD"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410E4E34" w14:textId="77777777" w:rsidTr="00A56595">
        <w:tc>
          <w:tcPr>
            <w:tcW w:w="9322" w:type="dxa"/>
          </w:tcPr>
          <w:p w14:paraId="1DAA6C4D"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2E0997B9" w14:textId="77777777" w:rsidR="00A56595" w:rsidRPr="003008A8" w:rsidRDefault="00A56595" w:rsidP="005A0C0D">
            <w:pPr>
              <w:rPr>
                <w:rFonts w:asciiTheme="majorHAnsi" w:hAnsiTheme="majorHAnsi" w:cs="ScalaSans-Regular"/>
                <w:color w:val="000000"/>
              </w:rPr>
            </w:pPr>
          </w:p>
        </w:tc>
      </w:tr>
      <w:tr w:rsidR="0045417D" w:rsidRPr="003008A8" w14:paraId="7911B3F0" w14:textId="77777777" w:rsidTr="00A56595">
        <w:tc>
          <w:tcPr>
            <w:tcW w:w="9322" w:type="dxa"/>
          </w:tcPr>
          <w:p w14:paraId="5CDAEAFE" w14:textId="77777777" w:rsidR="0045417D" w:rsidRPr="003008A8" w:rsidRDefault="0045417D" w:rsidP="005A0C0D">
            <w:pPr>
              <w:rPr>
                <w:rFonts w:asciiTheme="majorHAnsi" w:hAnsiTheme="majorHAnsi" w:cs="ScalaSans-Regular"/>
                <w:color w:val="000000"/>
              </w:rPr>
            </w:pPr>
          </w:p>
          <w:p w14:paraId="557604C3"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2BA19BA9" w14:textId="77777777" w:rsidR="00A56595" w:rsidRDefault="00A56595" w:rsidP="005A0C0D">
            <w:pPr>
              <w:rPr>
                <w:rFonts w:asciiTheme="majorHAnsi" w:hAnsiTheme="majorHAnsi" w:cs="ScalaSans-Regular"/>
                <w:color w:val="000000"/>
              </w:rPr>
            </w:pPr>
          </w:p>
          <w:p w14:paraId="71DD6EAB" w14:textId="77777777" w:rsidR="00A56595" w:rsidRDefault="00A56595" w:rsidP="005A0C0D">
            <w:pPr>
              <w:rPr>
                <w:rFonts w:asciiTheme="majorHAnsi" w:hAnsiTheme="majorHAnsi" w:cs="ScalaSans-Regular"/>
                <w:color w:val="000000"/>
              </w:rPr>
            </w:pPr>
          </w:p>
          <w:p w14:paraId="56EB92E0" w14:textId="77777777" w:rsidR="00A56595" w:rsidRDefault="00A56595" w:rsidP="005A0C0D">
            <w:pPr>
              <w:rPr>
                <w:rFonts w:asciiTheme="majorHAnsi" w:hAnsiTheme="majorHAnsi" w:cs="ScalaSans-Regular"/>
                <w:color w:val="000000"/>
              </w:rPr>
            </w:pPr>
          </w:p>
          <w:p w14:paraId="266E85DA" w14:textId="77777777" w:rsidR="00A56595" w:rsidRPr="003008A8" w:rsidRDefault="00A56595" w:rsidP="005A0C0D">
            <w:pPr>
              <w:rPr>
                <w:rFonts w:asciiTheme="majorHAnsi" w:hAnsiTheme="majorHAnsi" w:cs="ScalaSans-Regular"/>
                <w:color w:val="000000"/>
              </w:rPr>
            </w:pPr>
          </w:p>
        </w:tc>
      </w:tr>
      <w:tr w:rsidR="0045417D" w:rsidRPr="003008A8" w14:paraId="69094C31" w14:textId="77777777" w:rsidTr="00A56595">
        <w:tc>
          <w:tcPr>
            <w:tcW w:w="9322" w:type="dxa"/>
          </w:tcPr>
          <w:p w14:paraId="373103C9"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E6B0AC3" w14:textId="77777777" w:rsidR="00A56595" w:rsidRDefault="00A56595" w:rsidP="005A0C0D">
            <w:pPr>
              <w:rPr>
                <w:rFonts w:asciiTheme="majorHAnsi" w:hAnsiTheme="majorHAnsi" w:cs="ScalaSans-Regular"/>
                <w:color w:val="000000"/>
              </w:rPr>
            </w:pPr>
          </w:p>
          <w:p w14:paraId="1B88C564" w14:textId="77777777" w:rsidR="00A56595" w:rsidRPr="003008A8" w:rsidRDefault="00A56595" w:rsidP="005A0C0D">
            <w:pPr>
              <w:rPr>
                <w:rFonts w:asciiTheme="majorHAnsi" w:hAnsiTheme="majorHAnsi" w:cs="ScalaSans-Regular"/>
                <w:color w:val="000000"/>
              </w:rPr>
            </w:pPr>
          </w:p>
        </w:tc>
      </w:tr>
    </w:tbl>
    <w:p w14:paraId="24BCDCDA"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A858" w14:textId="77777777" w:rsidR="00F01D3B" w:rsidRDefault="00F01D3B">
      <w:r>
        <w:separator/>
      </w:r>
    </w:p>
  </w:endnote>
  <w:endnote w:type="continuationSeparator" w:id="0">
    <w:p w14:paraId="04D320E7" w14:textId="77777777" w:rsidR="00F01D3B" w:rsidRDefault="00F0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1CFF"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2BFC4ED6"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71E1"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9F07BA8"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B691" w14:textId="77777777" w:rsidR="00F01D3B" w:rsidRDefault="00F01D3B">
      <w:r>
        <w:separator/>
      </w:r>
    </w:p>
  </w:footnote>
  <w:footnote w:type="continuationSeparator" w:id="0">
    <w:p w14:paraId="3F41F7EE" w14:textId="77777777" w:rsidR="00F01D3B" w:rsidRDefault="00F0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4243"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56D5F600" wp14:editId="694B4792">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CA75"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0805A99F" wp14:editId="5C48FCB8">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C8"/>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11C8"/>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1D3B"/>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8511B7"/>
  <w14:defaultImageDpi w14:val="300"/>
  <w15:docId w15:val="{0730946D-5CFB-EC42-BF4B-EF33EC58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 w:type="paragraph" w:styleId="Normaalweb">
    <w:name w:val="Normal (Web)"/>
    <w:basedOn w:val="Standaard"/>
    <w:uiPriority w:val="99"/>
    <w:unhideWhenUsed/>
    <w:locked/>
    <w:rsid w:val="001C11C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9938">
      <w:bodyDiv w:val="1"/>
      <w:marLeft w:val="0"/>
      <w:marRight w:val="0"/>
      <w:marTop w:val="0"/>
      <w:marBottom w:val="0"/>
      <w:divBdr>
        <w:top w:val="none" w:sz="0" w:space="0" w:color="auto"/>
        <w:left w:val="none" w:sz="0" w:space="0" w:color="auto"/>
        <w:bottom w:val="none" w:sz="0" w:space="0" w:color="auto"/>
        <w:right w:val="none" w:sz="0" w:space="0" w:color="auto"/>
      </w:divBdr>
      <w:divsChild>
        <w:div w:id="369307885">
          <w:marLeft w:val="0"/>
          <w:marRight w:val="0"/>
          <w:marTop w:val="0"/>
          <w:marBottom w:val="0"/>
          <w:divBdr>
            <w:top w:val="none" w:sz="0" w:space="0" w:color="auto"/>
            <w:left w:val="none" w:sz="0" w:space="0" w:color="auto"/>
            <w:bottom w:val="none" w:sz="0" w:space="0" w:color="auto"/>
            <w:right w:val="none" w:sz="0" w:space="0" w:color="auto"/>
          </w:divBdr>
          <w:divsChild>
            <w:div w:id="785197113">
              <w:marLeft w:val="0"/>
              <w:marRight w:val="0"/>
              <w:marTop w:val="0"/>
              <w:marBottom w:val="0"/>
              <w:divBdr>
                <w:top w:val="none" w:sz="0" w:space="0" w:color="auto"/>
                <w:left w:val="none" w:sz="0" w:space="0" w:color="auto"/>
                <w:bottom w:val="none" w:sz="0" w:space="0" w:color="auto"/>
                <w:right w:val="none" w:sz="0" w:space="0" w:color="auto"/>
              </w:divBdr>
              <w:divsChild>
                <w:div w:id="1024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2.%20Aanbesteden%20EA%20OLP%20OIG%20klanten/93.%20Prisma%20Almere%20OLP.OIGJS2023.29/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2</TotalTime>
  <Pages>6</Pages>
  <Words>1513</Words>
  <Characters>8325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Joel Schenk</dc:creator>
  <cp:keywords/>
  <cp:lastModifiedBy>Joël Schenk</cp:lastModifiedBy>
  <cp:revision>1</cp:revision>
  <cp:lastPrinted>2011-11-12T12:17:00Z</cp:lastPrinted>
  <dcterms:created xsi:type="dcterms:W3CDTF">2023-11-10T10:23:00Z</dcterms:created>
  <dcterms:modified xsi:type="dcterms:W3CDTF">2023-11-10T10:26:00Z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