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6CBC" w14:textId="1959AFA4" w:rsidR="00A50240" w:rsidRPr="00484E94" w:rsidRDefault="00A50240" w:rsidP="00A50240">
      <w:pPr>
        <w:rPr>
          <w:rFonts w:asciiTheme="minorHAnsi" w:hAnsiTheme="minorHAnsi" w:cstheme="minorHAnsi"/>
          <w:b/>
          <w:bCs/>
          <w:iCs/>
        </w:rPr>
      </w:pPr>
      <w:r w:rsidRPr="00484E94">
        <w:rPr>
          <w:rFonts w:asciiTheme="minorHAnsi" w:hAnsiTheme="minorHAnsi" w:cstheme="minorHAnsi"/>
          <w:b/>
          <w:bCs/>
          <w:iCs/>
        </w:rPr>
        <w:t>Bijlage</w:t>
      </w:r>
      <w:r w:rsidR="00007762" w:rsidRPr="00484E94">
        <w:rPr>
          <w:rFonts w:asciiTheme="minorHAnsi" w:hAnsiTheme="minorHAnsi" w:cstheme="minorHAnsi"/>
          <w:b/>
          <w:bCs/>
        </w:rPr>
        <w:t xml:space="preserve"> </w:t>
      </w:r>
      <w:r w:rsidR="00007762" w:rsidRPr="00484E94">
        <w:rPr>
          <w:rFonts w:asciiTheme="minorHAnsi" w:hAnsiTheme="minorHAnsi" w:cstheme="minorHAnsi"/>
          <w:b/>
          <w:bCs/>
          <w:iCs/>
        </w:rPr>
        <w:t>Uitsluitingsgrond i.v.m. verbod op gunning aan Russische partijen</w:t>
      </w:r>
    </w:p>
    <w:p w14:paraId="6BFF9E8F" w14:textId="77777777" w:rsidR="00A50240" w:rsidRDefault="00A50240" w:rsidP="00A50240">
      <w:pPr>
        <w:rPr>
          <w:iCs/>
        </w:rPr>
      </w:pPr>
    </w:p>
    <w:p w14:paraId="76CBFEB9" w14:textId="270DED83" w:rsidR="00A50240" w:rsidRDefault="00A50240" w:rsidP="00A50240">
      <w:pPr>
        <w:rPr>
          <w:iCs/>
        </w:rPr>
      </w:pPr>
    </w:p>
    <w:p w14:paraId="3684DDA7"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Zie Verordening (EU) 2022/576 van de Raad van 8 april 2022 tot wijziging van Verordening (EU) nr. 833/2014 betreffende beperkende maatregelen naar aanleiding van de acties van Rusland die de situatie in Oekraïne destabiliseren. Deze Verordening is te vinden via: </w:t>
      </w:r>
      <w:hyperlink r:id="rId9" w:history="1">
        <w:r w:rsidRPr="00484E94">
          <w:rPr>
            <w:rStyle w:val="Hyperlink"/>
            <w:rFonts w:asciiTheme="minorHAnsi" w:hAnsiTheme="minorHAnsi" w:cstheme="minorHAnsi"/>
            <w:iCs/>
          </w:rPr>
          <w:t>https://eur-lex.europa.eu/legal-content/EN/TXT/?uri=OJ:L:2022:111:TOC</w:t>
        </w:r>
      </w:hyperlink>
      <w:r w:rsidRPr="00484E94">
        <w:rPr>
          <w:rFonts w:asciiTheme="minorHAnsi" w:hAnsiTheme="minorHAnsi" w:cstheme="minorHAnsi"/>
          <w:iCs/>
        </w:rPr>
        <w:t xml:space="preserve"> Artikel 5 </w:t>
      </w:r>
      <w:proofErr w:type="spellStart"/>
      <w:r w:rsidRPr="00484E94">
        <w:rPr>
          <w:rFonts w:asciiTheme="minorHAnsi" w:hAnsiTheme="minorHAnsi" w:cstheme="minorHAnsi"/>
          <w:iCs/>
        </w:rPr>
        <w:t>duodecies</w:t>
      </w:r>
      <w:proofErr w:type="spellEnd"/>
      <w:r w:rsidRPr="00484E94">
        <w:rPr>
          <w:rFonts w:asciiTheme="minorHAnsi" w:hAnsiTheme="minorHAnsi" w:cstheme="minorHAnsi"/>
          <w:iCs/>
        </w:rPr>
        <w:t xml:space="preserve"> wordt daardoor ingevoegd, welk artikel als volgt luidt:</w:t>
      </w:r>
    </w:p>
    <w:p w14:paraId="720B236A" w14:textId="305A99C9" w:rsidR="00A50240" w:rsidRDefault="00A50240" w:rsidP="00A50240">
      <w:pPr>
        <w:rPr>
          <w:iCs/>
        </w:rPr>
      </w:pPr>
    </w:p>
    <w:p w14:paraId="1ECA8CA9" w14:textId="77777777" w:rsidR="00A50240" w:rsidRDefault="00A50240" w:rsidP="00A50240">
      <w:pPr>
        <w:rPr>
          <w:iCs/>
        </w:rPr>
      </w:pPr>
    </w:p>
    <w:p w14:paraId="67D487E4" w14:textId="6A728DC1" w:rsidR="00A50240" w:rsidRDefault="00A50240" w:rsidP="00A50240">
      <w:pPr>
        <w:rPr>
          <w:iCs/>
        </w:rPr>
      </w:pPr>
      <w:r w:rsidRPr="00C15170">
        <w:rPr>
          <w:iCs/>
          <w:noProof/>
          <w:lang w:eastAsia="nl-NL"/>
        </w:rPr>
        <w:drawing>
          <wp:inline distT="0" distB="0" distL="0" distR="0" wp14:anchorId="47B51428" wp14:editId="08D323B8">
            <wp:extent cx="5136823" cy="618172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6526" cy="6193401"/>
                    </a:xfrm>
                    <a:prstGeom prst="rect">
                      <a:avLst/>
                    </a:prstGeom>
                    <a:noFill/>
                    <a:ln>
                      <a:noFill/>
                    </a:ln>
                  </pic:spPr>
                </pic:pic>
              </a:graphicData>
            </a:graphic>
          </wp:inline>
        </w:drawing>
      </w:r>
    </w:p>
    <w:p w14:paraId="354DC968" w14:textId="77777777" w:rsidR="00484E94" w:rsidRDefault="00484E94" w:rsidP="00A50240">
      <w:pPr>
        <w:rPr>
          <w:iCs/>
        </w:rPr>
      </w:pPr>
    </w:p>
    <w:p w14:paraId="6BE943BE" w14:textId="77777777" w:rsidR="00484E94" w:rsidRDefault="00484E94" w:rsidP="00A50240">
      <w:pPr>
        <w:rPr>
          <w:iCs/>
        </w:rPr>
      </w:pPr>
    </w:p>
    <w:p w14:paraId="0A7A83B5" w14:textId="77777777" w:rsidR="00484E94" w:rsidRDefault="00484E94" w:rsidP="00A50240">
      <w:pPr>
        <w:rPr>
          <w:iCs/>
        </w:rPr>
      </w:pPr>
    </w:p>
    <w:p w14:paraId="4A7F79D9" w14:textId="77777777" w:rsidR="00484E94" w:rsidRDefault="00484E94" w:rsidP="00A50240">
      <w:pPr>
        <w:rPr>
          <w:iCs/>
        </w:rPr>
      </w:pPr>
    </w:p>
    <w:p w14:paraId="3D4291EB" w14:textId="191B61B1" w:rsidR="00A50240" w:rsidRPr="000C6DC1" w:rsidRDefault="00A50240" w:rsidP="00A50240">
      <w:pPr>
        <w:rPr>
          <w:iCs/>
        </w:rPr>
      </w:pPr>
      <w:r w:rsidRPr="000C6DC1">
        <w:rPr>
          <w:iCs/>
        </w:rPr>
        <w:lastRenderedPageBreak/>
        <w:t xml:space="preserve">In de Circulaire van 20 mei jl. van de Minister van Economische Zaken en Klimaat wordt uiteengezet wat genoemd verbod voor de praktijk betekent. Zie: </w:t>
      </w:r>
      <w:hyperlink r:id="rId11" w:history="1">
        <w:r w:rsidRPr="000C6DC1">
          <w:rPr>
            <w:rStyle w:val="Hyperlink"/>
            <w:iCs/>
          </w:rPr>
          <w:t>https://www.pianoo.nl/nl/actueel/nieuws/update-circulaire-gevolgen-sanctiepakket-rusland-voor-overheidsaanbestedingen</w:t>
        </w:r>
      </w:hyperlink>
      <w:r w:rsidRPr="000C6DC1">
        <w:rPr>
          <w:iCs/>
        </w:rPr>
        <w:t xml:space="preserve"> Vanwege het belang van deze Circulaire geven wij hieronder de relevante passages </w:t>
      </w:r>
      <w:r>
        <w:rPr>
          <w:iCs/>
        </w:rPr>
        <w:t xml:space="preserve">integraal </w:t>
      </w:r>
      <w:r w:rsidRPr="000C6DC1">
        <w:rPr>
          <w:iCs/>
        </w:rPr>
        <w:t>weer:</w:t>
      </w:r>
    </w:p>
    <w:p w14:paraId="3DE4CA59" w14:textId="77777777" w:rsidR="00A50240" w:rsidRDefault="00A50240" w:rsidP="00A50240">
      <w:pPr>
        <w:rPr>
          <w:i/>
          <w:iCs/>
        </w:rPr>
      </w:pPr>
    </w:p>
    <w:p w14:paraId="0D339A57"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bCs/>
          <w:iCs/>
        </w:rPr>
        <w:t>“</w:t>
      </w:r>
      <w:r w:rsidRPr="00484E94">
        <w:rPr>
          <w:rFonts w:asciiTheme="minorHAnsi" w:hAnsiTheme="minorHAnsi" w:cstheme="minorHAnsi"/>
          <w:b/>
          <w:bCs/>
          <w:iCs/>
        </w:rPr>
        <w:t xml:space="preserve">Om welke aanbestedingen gaat het? </w:t>
      </w:r>
    </w:p>
    <w:p w14:paraId="0FB4C590"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Het gaat om nieuwe overheidsaanbestedingen. Dat wil zeggen, alle overheidsaanbestedingen boven de Europese drempelwaarden die vallen onder de Aanbestedingswet 2012 en de Aanbestedingswet op defensie- en veiligheidsgebied (deze zijn gebaseerd op Richtlijn 2014/23, 2014/24, 2014/25 en 2009/81). Maar het gaat ook om de overheidsaanbestedingen boven de Europese drempelwaarden die van de aanbestedingsregels zijn uitgezonderd in de Aanbestedingswet 2012 en Aanbestedingswet op defensie- en veiligheidsgebied. Naast nieuwe overheidsaanbestedingen, gaat het ook om lopende contracten. De sancties zien niet op nationale aanbestedingen en contracten die daaruit voortvloeien.2 </w:t>
      </w:r>
    </w:p>
    <w:p w14:paraId="250BE381" w14:textId="77777777" w:rsidR="00A50240" w:rsidRPr="00484E94" w:rsidRDefault="00A50240" w:rsidP="00A50240">
      <w:pPr>
        <w:rPr>
          <w:rFonts w:asciiTheme="minorHAnsi" w:hAnsiTheme="minorHAnsi" w:cstheme="minorHAnsi"/>
          <w:iCs/>
        </w:rPr>
      </w:pPr>
    </w:p>
    <w:p w14:paraId="54239C8F"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Dit betekent concreet voor u dat u geen nieuwe opdrachten of concessies meer mag gunnen aan Russische partijen en dat lopende contracten met Russische partijen afgesloten vóór 9 april 2022 binnen 6 maanden na publicatie van het sanctiepakket moeten worden stopgezet. Dat betekent vóór 10 oktober 2022. Let wel, u hoeft een contract niet per direct stop te zetten, zolang dat moment vóór 10 oktober 2022 is. </w:t>
      </w:r>
    </w:p>
    <w:p w14:paraId="753A0BD6"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Dit geldt ook voor overheidsaanbestedingen waar een Russische partij voor meer dan 10% deelneemt in het contract als onderaannemer of leverancier. </w:t>
      </w:r>
    </w:p>
    <w:p w14:paraId="4EE5148A" w14:textId="77777777" w:rsidR="00A50240" w:rsidRPr="00484E94" w:rsidRDefault="00A50240" w:rsidP="00A50240">
      <w:pPr>
        <w:rPr>
          <w:rFonts w:asciiTheme="minorHAnsi" w:hAnsiTheme="minorHAnsi" w:cstheme="minorHAnsi"/>
          <w:b/>
          <w:bCs/>
          <w:iCs/>
        </w:rPr>
      </w:pPr>
    </w:p>
    <w:p w14:paraId="4551DF7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b/>
          <w:bCs/>
          <w:iCs/>
        </w:rPr>
        <w:t xml:space="preserve">Welke Russische partijen worden bedoeld? </w:t>
      </w:r>
    </w:p>
    <w:p w14:paraId="70F63F80"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Het verbod ziet op gunning aan en lopende contracten met: </w:t>
      </w:r>
    </w:p>
    <w:p w14:paraId="31EF13F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•personen met een Russische nationaliteit en personen of rechtspersonen (bedrijven, entiteiten of organen) die gevestigd zijn in Rusland;</w:t>
      </w:r>
    </w:p>
    <w:p w14:paraId="3BDD3442"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•rechtspersonen die voor meer dan 50% eigendom zijn van een Russische partij zoals genoemd hierboven; en</w:t>
      </w:r>
    </w:p>
    <w:p w14:paraId="302A9FCB"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•personen of rechtspersonen die handelen in belang van of op aanwijzing van een bovengenoemde Russische partij.</w:t>
      </w:r>
    </w:p>
    <w:p w14:paraId="6E410416"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•Niet-Russische entiteiten, waarbij meer dan 10% van de </w:t>
      </w:r>
      <w:proofErr w:type="spellStart"/>
      <w:r w:rsidRPr="00484E94">
        <w:rPr>
          <w:rFonts w:asciiTheme="minorHAnsi" w:hAnsiTheme="minorHAnsi" w:cstheme="minorHAnsi"/>
          <w:iCs/>
        </w:rPr>
        <w:t>contractswaarde</w:t>
      </w:r>
      <w:proofErr w:type="spellEnd"/>
      <w:r w:rsidRPr="00484E94">
        <w:rPr>
          <w:rFonts w:asciiTheme="minorHAnsi" w:hAnsiTheme="minorHAnsi" w:cstheme="minorHAnsi"/>
          <w:iCs/>
        </w:rPr>
        <w:t xml:space="preserve"> geleverd wordt door onderaannemers, leveranciers of entiteiten die als Russische entiteit kunnen worden aangemerkt op basis van het bovenstaande. </w:t>
      </w:r>
    </w:p>
    <w:p w14:paraId="4F46BBEC" w14:textId="77777777" w:rsidR="00A50240" w:rsidRPr="00484E94" w:rsidRDefault="00A50240" w:rsidP="00A50240">
      <w:pPr>
        <w:rPr>
          <w:rFonts w:asciiTheme="minorHAnsi" w:hAnsiTheme="minorHAnsi" w:cstheme="minorHAnsi"/>
          <w:iCs/>
        </w:rPr>
      </w:pPr>
    </w:p>
    <w:p w14:paraId="67A4375B"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De rechtspersonen als bedoeld bij de tweede of derde </w:t>
      </w:r>
      <w:proofErr w:type="spellStart"/>
      <w:r w:rsidRPr="00484E94">
        <w:rPr>
          <w:rFonts w:asciiTheme="minorHAnsi" w:hAnsiTheme="minorHAnsi" w:cstheme="minorHAnsi"/>
          <w:iCs/>
        </w:rPr>
        <w:t>bullet</w:t>
      </w:r>
      <w:proofErr w:type="spellEnd"/>
      <w:r w:rsidRPr="00484E94">
        <w:rPr>
          <w:rFonts w:asciiTheme="minorHAnsi" w:hAnsiTheme="minorHAnsi" w:cstheme="minorHAnsi"/>
          <w:iCs/>
        </w:rPr>
        <w:t xml:space="preserve"> omvatten ook natuurlijke en rechtspersonen gevestigd in de EU/EER of in een ander land dan Rusland. </w:t>
      </w:r>
    </w:p>
    <w:p w14:paraId="21EC8A1B" w14:textId="77777777" w:rsidR="00A50240" w:rsidRPr="00484E94" w:rsidRDefault="00A50240" w:rsidP="00A50240">
      <w:pPr>
        <w:rPr>
          <w:rFonts w:asciiTheme="minorHAnsi" w:hAnsiTheme="minorHAnsi" w:cstheme="minorHAnsi"/>
          <w:iCs/>
        </w:rPr>
      </w:pPr>
    </w:p>
    <w:p w14:paraId="0A7B04CE"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Hoe kunt u vaststellen of er sprake is van een overheidsaanbesteding of lopend contract met een Russische partij zoals hierboven gedefinieerd? Dit doet u door de volgende 4 stappen te doorlopen: </w:t>
      </w:r>
    </w:p>
    <w:p w14:paraId="2C7401E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1. Stel vast of er sprake is van eigendom (minimaal meer dan 50%) dooreen Russische persoon of rechtspersoon.</w:t>
      </w:r>
    </w:p>
    <w:p w14:paraId="7979645D"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2. Is er geen sprake van eigendom, stel dan vast of er wel sprake is van zeggenschap (zeggenschap kan in de vorm van contractuele afspraken of in de vorm van andere feitelijke invloed aanwezig zijn).</w:t>
      </w:r>
    </w:p>
    <w:p w14:paraId="410C2A23"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3. Ook in contracten met niet-Russische entiteiten dient u na te gaan of er sprake is van onderaannemers en leveranciers die voldoen aan 1 en 2, mits de waarde van deze partijen meer dan 10% is van het totale contract.</w:t>
      </w:r>
    </w:p>
    <w:p w14:paraId="0AB95F5A"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4. Is er sprake van eigendom, zeggenschap of de ‘10%-regel’? Check dan of uw lopende contracten en aanbestedingen onder een uitzondering vallen (zie hieronder).</w:t>
      </w:r>
    </w:p>
    <w:p w14:paraId="048BC2FC" w14:textId="10DA997D" w:rsidR="00A50240" w:rsidRDefault="00A50240" w:rsidP="00A50240">
      <w:pPr>
        <w:rPr>
          <w:rFonts w:asciiTheme="minorHAnsi" w:hAnsiTheme="minorHAnsi" w:cstheme="minorHAnsi"/>
          <w:iCs/>
        </w:rPr>
      </w:pPr>
    </w:p>
    <w:p w14:paraId="2D3F0DB4" w14:textId="77777777" w:rsidR="00484E94" w:rsidRPr="00484E94" w:rsidRDefault="00484E94" w:rsidP="00A50240">
      <w:pPr>
        <w:rPr>
          <w:rFonts w:asciiTheme="minorHAnsi" w:hAnsiTheme="minorHAnsi" w:cstheme="minorHAnsi"/>
          <w:iCs/>
        </w:rPr>
      </w:pPr>
    </w:p>
    <w:p w14:paraId="00C3F55F"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b/>
          <w:bCs/>
          <w:iCs/>
        </w:rPr>
        <w:lastRenderedPageBreak/>
        <w:t xml:space="preserve">Uitzonderingen </w:t>
      </w:r>
    </w:p>
    <w:p w14:paraId="78A8FD59"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Hoewel de uitzonderingen uit de Aanbestedingswet 2012 en de Aanbestedingswet op defensie- en veiligheidsgebied niet gelden, heeft de Europese Unie een aantal uitzonderingsgronden opgenomen op deze sanctie. De bevoegde autoriteit kan autoriseren of gebruik kan worden gemaakt van deze uitzonderingsgronden die gelden voor nieuwe overheidsaanbestedingen en lopende contracten.3 Hierover zal nader worden besloten en hierover zal nader worden gecommuniceerd. </w:t>
      </w:r>
    </w:p>
    <w:p w14:paraId="060C3640" w14:textId="77777777" w:rsidR="00A50240" w:rsidRPr="00484E94" w:rsidRDefault="00A50240" w:rsidP="00A50240">
      <w:pPr>
        <w:rPr>
          <w:rFonts w:asciiTheme="minorHAnsi" w:hAnsiTheme="minorHAnsi" w:cstheme="minorHAnsi"/>
          <w:iCs/>
        </w:rPr>
      </w:pPr>
    </w:p>
    <w:p w14:paraId="1D89D818"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Mogelijke uitzonderingsgronden zijn: </w:t>
      </w:r>
    </w:p>
    <w:p w14:paraId="4C33D5F4"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Uitvoering, onderhoud en vernietiging van radioactief afval, behandelingen veiligheid van civiele nucleaire capaciteiten, levering van materiaal voor de productie van medische radio-isotopen en gelijke medische middelen, nodige technologie voor radioactieve monitoring en nodige</w:t>
      </w:r>
      <w:r w:rsidRPr="00484E94">
        <w:rPr>
          <w:rFonts w:asciiTheme="minorHAnsi" w:hAnsiTheme="minorHAnsi" w:cstheme="minorHAnsi"/>
          <w:b/>
          <w:iCs/>
          <w:color w:val="000000"/>
          <w:sz w:val="24"/>
          <w:szCs w:val="24"/>
        </w:rPr>
        <w:t xml:space="preserve"> </w:t>
      </w:r>
      <w:r w:rsidRPr="00484E94">
        <w:rPr>
          <w:rFonts w:asciiTheme="minorHAnsi" w:hAnsiTheme="minorHAnsi" w:cstheme="minorHAnsi"/>
          <w:iCs/>
        </w:rPr>
        <w:t>technologie voor civiele nucleaire samenwerking (voornamelijk onderzoek en ontwikkeling);</w:t>
      </w:r>
    </w:p>
    <w:p w14:paraId="7BA3C52F"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Als de levering van strikt noodzakelijke goederen of diensten enkel mogelijk is door een Russische partij, of enkel een Russische partij het kan leveren in toereikende hoeveelheden; </w:t>
      </w:r>
    </w:p>
    <w:p w14:paraId="54D08A38"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Ruimteprogramma’s; </w:t>
      </w:r>
    </w:p>
    <w:p w14:paraId="5F5360C8"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Alles voor diplomaten van EU landen in Rusland; </w:t>
      </w:r>
    </w:p>
    <w:p w14:paraId="1CB4BBB7"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Als het gaat om de levering van gas, olie, titanium, aluminium, koper, nikkel, palladium en ijzererts; </w:t>
      </w:r>
    </w:p>
    <w:p w14:paraId="5C9213E6"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 Levering van kolen en andere fossiele brandstoffen (tot 10 augustus 2022). </w:t>
      </w:r>
    </w:p>
    <w:p w14:paraId="6B125623" w14:textId="77777777" w:rsidR="00A50240" w:rsidRPr="00484E94" w:rsidRDefault="00A50240" w:rsidP="00A50240">
      <w:pPr>
        <w:rPr>
          <w:rFonts w:asciiTheme="minorHAnsi" w:hAnsiTheme="minorHAnsi" w:cstheme="minorHAnsi"/>
          <w:iCs/>
        </w:rPr>
      </w:pPr>
      <w:r w:rsidRPr="00484E94">
        <w:rPr>
          <w:rFonts w:asciiTheme="minorHAnsi" w:hAnsiTheme="minorHAnsi" w:cstheme="minorHAnsi"/>
          <w:iCs/>
        </w:rPr>
        <w:t xml:space="preserve">Bij toepassing van deze uitzonderingen mag er wel na een aanbesteding een overheidsopdracht gegund worden aan een Russische partij of mogen eerder aanbestede contracten uitgevoerd worden met een Russische partij.” </w:t>
      </w:r>
    </w:p>
    <w:p w14:paraId="03290270" w14:textId="77777777" w:rsidR="00A50240" w:rsidRPr="00484E94" w:rsidRDefault="00A50240">
      <w:pPr>
        <w:rPr>
          <w:rFonts w:asciiTheme="minorHAnsi" w:hAnsiTheme="minorHAnsi" w:cstheme="minorHAnsi"/>
          <w:iCs/>
        </w:rPr>
      </w:pPr>
    </w:p>
    <w:sectPr w:rsidR="00A50240" w:rsidRPr="00484E9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F14C5" w14:textId="77777777" w:rsidR="003714D5" w:rsidRDefault="003714D5" w:rsidP="003714D5">
      <w:r>
        <w:separator/>
      </w:r>
    </w:p>
  </w:endnote>
  <w:endnote w:type="continuationSeparator" w:id="0">
    <w:p w14:paraId="35239382" w14:textId="77777777" w:rsidR="003714D5" w:rsidRDefault="003714D5" w:rsidP="0037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8381" w14:textId="77777777" w:rsidR="003714D5" w:rsidRDefault="003714D5" w:rsidP="003714D5">
      <w:r>
        <w:separator/>
      </w:r>
    </w:p>
  </w:footnote>
  <w:footnote w:type="continuationSeparator" w:id="0">
    <w:p w14:paraId="2163D06A" w14:textId="77777777" w:rsidR="003714D5" w:rsidRDefault="003714D5" w:rsidP="0037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4767" w14:textId="4F4E7D2B" w:rsidR="003714D5" w:rsidRDefault="003714D5">
    <w:pPr>
      <w:pStyle w:val="Koptekst"/>
    </w:pPr>
    <w:r>
      <w:rPr>
        <w:noProof/>
      </w:rPr>
      <w:drawing>
        <wp:anchor distT="0" distB="0" distL="114300" distR="114300" simplePos="0" relativeHeight="251658240" behindDoc="1" locked="0" layoutInCell="1" allowOverlap="1" wp14:anchorId="1124BF41" wp14:editId="58746C97">
          <wp:simplePos x="0" y="0"/>
          <wp:positionH relativeFrom="margin">
            <wp:align>right</wp:align>
          </wp:positionH>
          <wp:positionV relativeFrom="paragraph">
            <wp:posOffset>-201295</wp:posOffset>
          </wp:positionV>
          <wp:extent cx="2571750" cy="642484"/>
          <wp:effectExtent l="0" t="0" r="0" b="5715"/>
          <wp:wrapNone/>
          <wp:docPr id="507881445"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81445" name="Afbeelding 1" descr="Afbeelding met tekst, Lettertyp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71750" cy="64248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40"/>
    <w:rsid w:val="00007762"/>
    <w:rsid w:val="003714D5"/>
    <w:rsid w:val="00484E94"/>
    <w:rsid w:val="00A50240"/>
    <w:rsid w:val="00D649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E1866"/>
  <w15:chartTrackingRefBased/>
  <w15:docId w15:val="{DCB2737D-97C0-4C26-8CD3-97A13E5C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024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0240"/>
    <w:rPr>
      <w:color w:val="0563C1" w:themeColor="hyperlink"/>
      <w:u w:val="single"/>
    </w:rPr>
  </w:style>
  <w:style w:type="character" w:styleId="Verwijzingopmerking">
    <w:name w:val="annotation reference"/>
    <w:basedOn w:val="Standaardalinea-lettertype"/>
    <w:uiPriority w:val="99"/>
    <w:semiHidden/>
    <w:unhideWhenUsed/>
    <w:rsid w:val="00007762"/>
    <w:rPr>
      <w:sz w:val="16"/>
      <w:szCs w:val="16"/>
    </w:rPr>
  </w:style>
  <w:style w:type="paragraph" w:styleId="Tekstopmerking">
    <w:name w:val="annotation text"/>
    <w:basedOn w:val="Standaard"/>
    <w:link w:val="TekstopmerkingChar"/>
    <w:uiPriority w:val="99"/>
    <w:semiHidden/>
    <w:unhideWhenUsed/>
    <w:rsid w:val="00007762"/>
    <w:rPr>
      <w:sz w:val="20"/>
      <w:szCs w:val="20"/>
    </w:rPr>
  </w:style>
  <w:style w:type="character" w:customStyle="1" w:styleId="TekstopmerkingChar">
    <w:name w:val="Tekst opmerking Char"/>
    <w:basedOn w:val="Standaardalinea-lettertype"/>
    <w:link w:val="Tekstopmerking"/>
    <w:uiPriority w:val="99"/>
    <w:semiHidden/>
    <w:rsid w:val="00007762"/>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007762"/>
    <w:rPr>
      <w:b/>
      <w:bCs/>
    </w:rPr>
  </w:style>
  <w:style w:type="character" w:customStyle="1" w:styleId="OnderwerpvanopmerkingChar">
    <w:name w:val="Onderwerp van opmerking Char"/>
    <w:basedOn w:val="TekstopmerkingChar"/>
    <w:link w:val="Onderwerpvanopmerking"/>
    <w:uiPriority w:val="99"/>
    <w:semiHidden/>
    <w:rsid w:val="00007762"/>
    <w:rPr>
      <w:rFonts w:ascii="Calibri" w:hAnsi="Calibri" w:cs="Calibri"/>
      <w:b/>
      <w:bCs/>
      <w:sz w:val="20"/>
      <w:szCs w:val="20"/>
    </w:rPr>
  </w:style>
  <w:style w:type="paragraph" w:styleId="Koptekst">
    <w:name w:val="header"/>
    <w:basedOn w:val="Standaard"/>
    <w:link w:val="KoptekstChar"/>
    <w:uiPriority w:val="99"/>
    <w:unhideWhenUsed/>
    <w:rsid w:val="003714D5"/>
    <w:pPr>
      <w:tabs>
        <w:tab w:val="center" w:pos="4536"/>
        <w:tab w:val="right" w:pos="9072"/>
      </w:tabs>
    </w:pPr>
  </w:style>
  <w:style w:type="character" w:customStyle="1" w:styleId="KoptekstChar">
    <w:name w:val="Koptekst Char"/>
    <w:basedOn w:val="Standaardalinea-lettertype"/>
    <w:link w:val="Koptekst"/>
    <w:uiPriority w:val="99"/>
    <w:rsid w:val="003714D5"/>
    <w:rPr>
      <w:rFonts w:ascii="Calibri" w:hAnsi="Calibri" w:cs="Calibri"/>
    </w:rPr>
  </w:style>
  <w:style w:type="paragraph" w:styleId="Voettekst">
    <w:name w:val="footer"/>
    <w:basedOn w:val="Standaard"/>
    <w:link w:val="VoettekstChar"/>
    <w:uiPriority w:val="99"/>
    <w:unhideWhenUsed/>
    <w:rsid w:val="003714D5"/>
    <w:pPr>
      <w:tabs>
        <w:tab w:val="center" w:pos="4536"/>
        <w:tab w:val="right" w:pos="9072"/>
      </w:tabs>
    </w:pPr>
  </w:style>
  <w:style w:type="character" w:customStyle="1" w:styleId="VoettekstChar">
    <w:name w:val="Voettekst Char"/>
    <w:basedOn w:val="Standaardalinea-lettertype"/>
    <w:link w:val="Voettekst"/>
    <w:uiPriority w:val="99"/>
    <w:rsid w:val="003714D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ianoo.nl/nl/actueel/nieuws/update-circulaire-gevolgen-sanctiepakket-rusland-voor-overheidsaanbestedingen" TargetMode="External"/><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eur-lex.europa.eu/legal-content/EN/TXT/?uri=OJ:L:2022:111:T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FFDBDAE6087544B2924F946EFA8C66" ma:contentTypeVersion="14" ma:contentTypeDescription="Een nieuw document maken." ma:contentTypeScope="" ma:versionID="9a1902be12ab2dcc72bdcfe698ece438">
  <xsd:schema xmlns:xsd="http://www.w3.org/2001/XMLSchema" xmlns:xs="http://www.w3.org/2001/XMLSchema" xmlns:p="http://schemas.microsoft.com/office/2006/metadata/properties" xmlns:ns2="9025bfce-7644-41ff-9242-4316a8af9377" xmlns:ns3="ed98f67c-1919-4074-973e-72d958f5fb31" targetNamespace="http://schemas.microsoft.com/office/2006/metadata/properties" ma:root="true" ma:fieldsID="d318014e429c6b643eb7446d578d3647" ns2:_="" ns3:_="">
    <xsd:import namespace="9025bfce-7644-41ff-9242-4316a8af9377"/>
    <xsd:import namespace="ed98f67c-1919-4074-973e-72d958f5f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5bfce-7644-41ff-9242-4316a8af9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8f67c-1919-4074-973e-72d958f5fb3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0ceb31fa-27c8-4060-8537-3a424772a7fe}" ma:internalName="TaxCatchAll" ma:showField="CatchAllData" ma:web="ed98f67c-1919-4074-973e-72d958f5f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25bfce-7644-41ff-9242-4316a8af9377">
      <Terms xmlns="http://schemas.microsoft.com/office/infopath/2007/PartnerControls"/>
    </lcf76f155ced4ddcb4097134ff3c332f>
    <TaxCatchAll xmlns="ed98f67c-1919-4074-973e-72d958f5fb31" xsi:nil="true"/>
    <SharedWithUsers xmlns="ed98f67c-1919-4074-973e-72d958f5fb31">
      <UserInfo>
        <DisplayName/>
        <AccountId xsi:nil="true"/>
        <AccountType/>
      </UserInfo>
    </SharedWithUsers>
  </documentManagement>
</p:properties>
</file>

<file path=customXml/itemProps1.xml><?xml version="1.0" encoding="utf-8"?>
<ds:datastoreItem xmlns:ds="http://schemas.openxmlformats.org/officeDocument/2006/customXml" ds:itemID="{1FE4524B-A3EE-4AF6-957B-A0039E6DBE78}">
  <ds:schemaRefs>
    <ds:schemaRef ds:uri="http://schemas.microsoft.com/sharepoint/v3/contenttype/forms"/>
  </ds:schemaRefs>
</ds:datastoreItem>
</file>

<file path=customXml/itemProps2.xml><?xml version="1.0" encoding="utf-8"?>
<ds:datastoreItem xmlns:ds="http://schemas.openxmlformats.org/officeDocument/2006/customXml" ds:itemID="{E8BFCA3D-7128-4739-B4CC-F7C5ABF0ED7D}"/>
</file>

<file path=customXml/itemProps3.xml><?xml version="1.0" encoding="utf-8"?>
<ds:datastoreItem xmlns:ds="http://schemas.openxmlformats.org/officeDocument/2006/customXml" ds:itemID="{C8BC9DC0-3F38-447D-A845-59B92CA1A09F}">
  <ds:schemaRefs>
    <ds:schemaRef ds:uri="http://schemas.openxmlformats.org/package/2006/metadata/core-properties"/>
    <ds:schemaRef ds:uri="http://purl.org/dc/dcmitype/"/>
    <ds:schemaRef ds:uri="http://purl.org/dc/terms/"/>
    <ds:schemaRef ds:uri="636faf38-aab6-4194-8f5b-fc9a86914114"/>
    <ds:schemaRef ds:uri="http://schemas.microsoft.com/office/2006/documentManagement/types"/>
    <ds:schemaRef ds:uri="http://schemas.microsoft.com/office/infopath/2007/PartnerControls"/>
    <ds:schemaRef ds:uri="http://purl.org/dc/elements/1.1/"/>
    <ds:schemaRef ds:uri="0c1a2bca-9b37-4966-b12d-0cfb7d5484c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863</Words>
  <Characters>4748</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Bongers</dc:creator>
  <cp:keywords/>
  <dc:description/>
  <cp:lastModifiedBy>Melroy Huuskes</cp:lastModifiedBy>
  <cp:revision>3</cp:revision>
  <dcterms:created xsi:type="dcterms:W3CDTF">2022-06-24T13:11:00Z</dcterms:created>
  <dcterms:modified xsi:type="dcterms:W3CDTF">2023-11-15T10:28:00Z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0x010100CCFFDBDAE6087544B2924F946EFA8C66</vt:lpwstr>
  </property>
  <property fmtid="{D5CDD505-2E9C-101B-9397-08002B2CF9AE}" pid="3" name="Order">
    <vt:r8>15259200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