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6C1A6" w14:textId="3F13E7DD" w:rsidR="0084499B" w:rsidRPr="0084499B" w:rsidRDefault="0084499B" w:rsidP="0084499B">
      <w:pPr>
        <w:rPr>
          <w:rFonts w:ascii="RijksoverheidSansHeading" w:hAnsi="RijksoverheidSansHeading"/>
          <w:sz w:val="20"/>
          <w:szCs w:val="20"/>
        </w:rPr>
      </w:pPr>
      <w:r w:rsidRPr="0084499B">
        <w:rPr>
          <w:rFonts w:ascii="RijksoverheidSansHeading" w:hAnsi="RijksoverheidSansHeading"/>
          <w:sz w:val="20"/>
          <w:szCs w:val="20"/>
        </w:rPr>
        <w:t xml:space="preserve">Beste heer/mevrouw, </w:t>
      </w:r>
    </w:p>
    <w:p w14:paraId="40450AEF" w14:textId="4AA30B41" w:rsidR="0084499B" w:rsidRPr="0084499B" w:rsidRDefault="0084499B" w:rsidP="0084499B">
      <w:pPr>
        <w:rPr>
          <w:rFonts w:ascii="RijksoverheidSansHeading" w:hAnsi="RijksoverheidSansHeading"/>
          <w:sz w:val="20"/>
          <w:szCs w:val="20"/>
        </w:rPr>
      </w:pPr>
      <w:r w:rsidRPr="0084499B">
        <w:rPr>
          <w:rFonts w:ascii="RijksoverheidSansHeading" w:hAnsi="RijksoverheidSansHeading"/>
          <w:sz w:val="20"/>
          <w:szCs w:val="20"/>
        </w:rPr>
        <w:t xml:space="preserve">Bij deze wil ik middels </w:t>
      </w:r>
      <w:r>
        <w:rPr>
          <w:rFonts w:ascii="RijksoverheidSansHeading" w:hAnsi="RijksoverheidSansHeading"/>
          <w:sz w:val="20"/>
          <w:szCs w:val="20"/>
        </w:rPr>
        <w:t>dit bericht</w:t>
      </w:r>
      <w:r w:rsidRPr="0084499B">
        <w:rPr>
          <w:rFonts w:ascii="RijksoverheidSansHeading" w:hAnsi="RijksoverheidSansHeading"/>
          <w:sz w:val="20"/>
          <w:szCs w:val="20"/>
        </w:rPr>
        <w:t xml:space="preserve"> een wijziging</w:t>
      </w:r>
      <w:r>
        <w:rPr>
          <w:rFonts w:ascii="RijksoverheidSansHeading" w:hAnsi="RijksoverheidSansHeading"/>
          <w:sz w:val="20"/>
          <w:szCs w:val="20"/>
        </w:rPr>
        <w:t xml:space="preserve"> in het beschrijvend document</w:t>
      </w:r>
      <w:r w:rsidRPr="0084499B">
        <w:rPr>
          <w:rFonts w:ascii="RijksoverheidSansHeading" w:hAnsi="RijksoverheidSansHeading"/>
          <w:sz w:val="20"/>
          <w:szCs w:val="20"/>
        </w:rPr>
        <w:t xml:space="preserve"> kenbaar maken. </w:t>
      </w:r>
      <w:r w:rsidRPr="0084499B">
        <w:rPr>
          <w:rFonts w:ascii="RijksoverheidSansHeading" w:hAnsi="RijksoverheidSansHeading"/>
          <w:sz w:val="20"/>
          <w:szCs w:val="20"/>
        </w:rPr>
        <w:br/>
        <w:t>In paragraaf 3.4.3.2 wordt benoemd dat</w:t>
      </w:r>
      <w:r w:rsidR="00B85B1B">
        <w:rPr>
          <w:rFonts w:ascii="RijksoverheidSansHeading" w:hAnsi="RijksoverheidSansHeading"/>
          <w:sz w:val="20"/>
          <w:szCs w:val="20"/>
        </w:rPr>
        <w:t xml:space="preserve"> </w:t>
      </w:r>
      <w:r w:rsidRPr="0084499B">
        <w:rPr>
          <w:rFonts w:ascii="RijksoverheidSansHeading" w:hAnsi="RijksoverheidSansHeading"/>
          <w:sz w:val="20"/>
          <w:szCs w:val="20"/>
        </w:rPr>
        <w:t xml:space="preserve"> Inschrijver dient te beschikken over een ISO 27001 certificering. </w:t>
      </w:r>
      <w:r w:rsidR="00B85B1B">
        <w:rPr>
          <w:rFonts w:ascii="RijksoverheidSansHeading" w:hAnsi="RijksoverheidSansHeading"/>
          <w:sz w:val="20"/>
          <w:szCs w:val="20"/>
        </w:rPr>
        <w:br/>
      </w:r>
      <w:r w:rsidRPr="0084499B">
        <w:rPr>
          <w:rFonts w:ascii="RijksoverheidSansHeading" w:hAnsi="RijksoverheidSansHeading"/>
          <w:sz w:val="20"/>
          <w:szCs w:val="20"/>
        </w:rPr>
        <w:t>Echter vol</w:t>
      </w:r>
      <w:r w:rsidR="00B85B1B">
        <w:rPr>
          <w:rFonts w:ascii="RijksoverheidSansHeading" w:hAnsi="RijksoverheidSansHeading"/>
          <w:sz w:val="20"/>
          <w:szCs w:val="20"/>
        </w:rPr>
        <w:t>staat</w:t>
      </w:r>
      <w:r w:rsidRPr="0084499B">
        <w:rPr>
          <w:rFonts w:ascii="RijksoverheidSansHeading" w:hAnsi="RijksoverheidSansHeading"/>
          <w:sz w:val="20"/>
          <w:szCs w:val="20"/>
        </w:rPr>
        <w:t xml:space="preserve"> een gelijkwaardig certificaat ook om te voldoen aan deze eis. </w:t>
      </w:r>
    </w:p>
    <w:p w14:paraId="47643A66" w14:textId="25DAF9B3" w:rsidR="0084499B" w:rsidRDefault="0084499B" w:rsidP="0084499B">
      <w:pPr>
        <w:rPr>
          <w:rFonts w:ascii="RijksoverheidSansHeading" w:hAnsi="RijksoverheidSansHeading"/>
          <w:sz w:val="20"/>
          <w:szCs w:val="20"/>
        </w:rPr>
      </w:pPr>
      <w:r w:rsidRPr="0084499B">
        <w:rPr>
          <w:rFonts w:ascii="RijksoverheidSansHeading" w:hAnsi="RijksoverheidSansHeading"/>
          <w:sz w:val="20"/>
          <w:szCs w:val="20"/>
        </w:rPr>
        <w:t>Om die reden is paragraaf 3.4.3.2 herschreven:</w:t>
      </w:r>
    </w:p>
    <w:p w14:paraId="5CAA2037" w14:textId="77777777" w:rsidR="00BF17BF" w:rsidRDefault="00BF17BF" w:rsidP="0084499B">
      <w:pPr>
        <w:rPr>
          <w:rFonts w:ascii="RijksoverheidSansHeading" w:hAnsi="RijksoverheidSansHeading"/>
          <w:sz w:val="20"/>
          <w:szCs w:val="20"/>
        </w:rPr>
      </w:pPr>
    </w:p>
    <w:p w14:paraId="77FD443E" w14:textId="1904B493" w:rsidR="0084499B" w:rsidRPr="0084499B" w:rsidRDefault="0084499B" w:rsidP="0084499B">
      <w:pPr>
        <w:pStyle w:val="Kop4"/>
        <w:rPr>
          <w:rFonts w:ascii="RijksoverheidSansHeading" w:hAnsi="RijksoverheidSansHeading"/>
          <w:sz w:val="20"/>
          <w:szCs w:val="20"/>
        </w:rPr>
      </w:pPr>
      <w:r w:rsidRPr="0084499B">
        <w:rPr>
          <w:rFonts w:ascii="RijksoverheidSansHeading" w:hAnsi="RijksoverheidSansHeading"/>
          <w:sz w:val="20"/>
          <w:szCs w:val="20"/>
        </w:rPr>
        <w:t>3.4.3.2 ISO-Certificering</w:t>
      </w:r>
      <w:r w:rsidRPr="0084499B">
        <w:rPr>
          <w:rFonts w:ascii="RijksoverheidSansHeading" w:hAnsi="RijksoverheidSansHeading"/>
          <w:sz w:val="20"/>
          <w:szCs w:val="20"/>
        </w:rPr>
        <w:br/>
        <w:t xml:space="preserve"> </w:t>
      </w:r>
    </w:p>
    <w:p w14:paraId="35A97CF7" w14:textId="5C5ABC3E" w:rsidR="00F36083" w:rsidRPr="0084499B" w:rsidRDefault="0084499B" w:rsidP="00F36083">
      <w:pPr>
        <w:pStyle w:val="Default"/>
        <w:rPr>
          <w:rFonts w:ascii="RijksoverheidSansHeading" w:hAnsi="RijksoverheidSansHeading"/>
          <w:sz w:val="20"/>
          <w:szCs w:val="20"/>
        </w:rPr>
      </w:pPr>
      <w:r w:rsidRPr="0084499B">
        <w:rPr>
          <w:rFonts w:ascii="RijksoverheidSansHeading" w:hAnsi="RijksoverheidSansHeading"/>
          <w:sz w:val="20"/>
          <w:szCs w:val="20"/>
        </w:rPr>
        <w:t>Met het doen van een inschrijving verklaart inschrijver dat degene die daadwerkelijk de werkzaamheden verricht (dit kan de inschrijver zelf zijn en/of zijn of een andere entiteit) dat zijn informatiebeveiliging voldoet aan het gestelde in meest recente ISO 27001 of</w:t>
      </w:r>
      <w:r w:rsidR="000D7DE2" w:rsidRPr="000D7DE2">
        <w:rPr>
          <w:rFonts w:ascii="RijksoverheidSansHeading" w:hAnsi="RijksoverheidSansHeading"/>
          <w:sz w:val="20"/>
          <w:szCs w:val="20"/>
        </w:rPr>
        <w:t xml:space="preserve"> een gelijkwaardige certificaat van in andere lidstaten van de Europese Unie gevestigde instanties. </w:t>
      </w:r>
      <w:r w:rsidR="00F36083" w:rsidRPr="00F36083">
        <w:rPr>
          <w:rFonts w:ascii="RijksoverheidSansHeading" w:hAnsi="RijksoverheidSansHeading"/>
          <w:sz w:val="20"/>
          <w:szCs w:val="20"/>
        </w:rPr>
        <w:t xml:space="preserve"> </w:t>
      </w:r>
      <w:r w:rsidR="00F36083" w:rsidRPr="0084499B">
        <w:rPr>
          <w:rFonts w:ascii="RijksoverheidSansHeading" w:hAnsi="RijksoverheidSansHeading"/>
          <w:sz w:val="20"/>
          <w:szCs w:val="20"/>
        </w:rPr>
        <w:t xml:space="preserve">Inschrijver dient gedurende de gehele contractperiode te beschikken over een goed ingericht informatie beveiligingsmanagement systeem dat periodiek door een onafhankelijke derde wordt getoetst op opzet en werking. Inschrijver dient hiertoe te beschikken over een geldig ISO 27001:2020 certificaat in relatie tot de door opdrachtgever gevraagde Diensten inclusief de bijbehorende verklaring van toepasselijkheid (statement of </w:t>
      </w:r>
      <w:proofErr w:type="spellStart"/>
      <w:r w:rsidR="00F36083" w:rsidRPr="0084499B">
        <w:rPr>
          <w:rFonts w:ascii="RijksoverheidSansHeading" w:hAnsi="RijksoverheidSansHeading"/>
          <w:sz w:val="20"/>
          <w:szCs w:val="20"/>
        </w:rPr>
        <w:t>applicability</w:t>
      </w:r>
      <w:proofErr w:type="spellEnd"/>
      <w:r w:rsidR="00F36083" w:rsidRPr="0084499B">
        <w:rPr>
          <w:rFonts w:ascii="RijksoverheidSansHeading" w:hAnsi="RijksoverheidSansHeading"/>
          <w:sz w:val="20"/>
          <w:szCs w:val="20"/>
        </w:rPr>
        <w:t xml:space="preserve">) of een hieraan gelijkwaardige certificering die betrekking heeft op het informatiebeveiligingsmanagement systeem van inschrijver. Dit certificaat is afgegeven door een daartoe geautoriseerde onafhankelijke instantie, die daartoe is erkend door een nationale accreditatie instelling (in Nederland: de Raad voor Accreditatie). </w:t>
      </w:r>
    </w:p>
    <w:p w14:paraId="4A2FF13D" w14:textId="422BDB09" w:rsidR="0084499B" w:rsidRDefault="0084499B" w:rsidP="0084499B">
      <w:pPr>
        <w:pStyle w:val="Default"/>
        <w:rPr>
          <w:rFonts w:ascii="RijksoverheidSansHeading" w:hAnsi="RijksoverheidSansHeading"/>
          <w:sz w:val="20"/>
          <w:szCs w:val="20"/>
        </w:rPr>
      </w:pPr>
    </w:p>
    <w:p w14:paraId="381D1FFF" w14:textId="5A83E554" w:rsidR="000D7DE2" w:rsidRDefault="000D7DE2" w:rsidP="0084499B">
      <w:pPr>
        <w:pStyle w:val="Default"/>
        <w:rPr>
          <w:rFonts w:ascii="RijksoverheidSansHeading" w:hAnsi="RijksoverheidSansHeading"/>
          <w:sz w:val="20"/>
          <w:szCs w:val="20"/>
        </w:rPr>
      </w:pPr>
      <w:r w:rsidRPr="000D7DE2">
        <w:rPr>
          <w:rFonts w:ascii="RijksoverheidSansHeading" w:hAnsi="RijksoverheidSansHeading"/>
          <w:sz w:val="20"/>
          <w:szCs w:val="20"/>
        </w:rPr>
        <w:t xml:space="preserve">Indien een inschrijver voor gunning in aanmerking komt, dient de inschrijver bij verificatie, na schriftelijk verzoek daartoe door de aanbestedende dienst, ten bewijze van het voldoen aan het gestelde een kopie van een geldig ISO </w:t>
      </w:r>
      <w:r>
        <w:rPr>
          <w:rFonts w:ascii="RijksoverheidSansHeading" w:hAnsi="RijksoverheidSansHeading"/>
          <w:sz w:val="20"/>
          <w:szCs w:val="20"/>
        </w:rPr>
        <w:t>27001</w:t>
      </w:r>
      <w:r w:rsidRPr="000D7DE2">
        <w:rPr>
          <w:rFonts w:ascii="RijksoverheidSansHeading" w:hAnsi="RijksoverheidSansHeading"/>
          <w:sz w:val="20"/>
          <w:szCs w:val="20"/>
        </w:rPr>
        <w:t xml:space="preserve"> certificaat te overleggen of een kopie van een gelijkwaardig certificaat.  </w:t>
      </w:r>
    </w:p>
    <w:p w14:paraId="1101B451" w14:textId="31A82182" w:rsidR="000D7DE2" w:rsidRDefault="000D7DE2" w:rsidP="0084499B">
      <w:pPr>
        <w:pStyle w:val="Default"/>
        <w:rPr>
          <w:rFonts w:ascii="RijksoverheidSansHeading" w:hAnsi="RijksoverheidSansHeading"/>
          <w:sz w:val="20"/>
          <w:szCs w:val="20"/>
        </w:rPr>
      </w:pPr>
    </w:p>
    <w:p w14:paraId="100A8AA1" w14:textId="6D308B9B" w:rsidR="0084499B" w:rsidRPr="0084499B" w:rsidRDefault="000D7DE2" w:rsidP="0084499B">
      <w:pPr>
        <w:pStyle w:val="Default"/>
        <w:rPr>
          <w:rFonts w:ascii="RijksoverheidSansHeading" w:hAnsi="RijksoverheidSansHeading"/>
          <w:sz w:val="20"/>
          <w:szCs w:val="20"/>
        </w:rPr>
      </w:pPr>
      <w:r w:rsidRPr="000D7DE2">
        <w:rPr>
          <w:rFonts w:ascii="RijksoverheidSansHeading" w:hAnsi="RijksoverheidSansHeading"/>
          <w:sz w:val="20"/>
          <w:szCs w:val="20"/>
        </w:rPr>
        <w:t xml:space="preserve">Indien inschrijver, om redenen die niet aan inschrijver kunnen worden toegerekend, niet bij inschrijving voldoet aan het hebben van het hierboven bedoelde (gelijkwaardige) certificaat, dient inschrijver dit bij diens inschrijving (vormvrij) te melden. Inschrijver dient in dat geval bij inschrijving gelijkwaardige maatregelen te hebben getroffen en toegepast. Deze gelijkwaardige maatregelen zien op de kwaliteitsbewaking waarmee aan de kwaliteitsnormen wordt voldaan. Inschrijver levert de beschrijving en bewijzen van de gelijkwaardige maatregelen aan bij verificatie, na schriftelijk verzoek daartoe door de aanbestedende dienst. </w:t>
      </w:r>
      <w:r w:rsidR="00BF17BF">
        <w:rPr>
          <w:rFonts w:ascii="RijksoverheidSansHeading" w:hAnsi="RijksoverheidSansHeading" w:cs="RijksoverheidSansHeading"/>
          <w:sz w:val="20"/>
          <w:szCs w:val="20"/>
        </w:rPr>
        <w:t>De beschrijving dient onafhankelijk ge-audit te zijn en  aandacht te  besteden aan onder meer het  volgende</w:t>
      </w:r>
      <w:r w:rsidR="00BF17BF">
        <w:rPr>
          <w:rFonts w:ascii="RijksoverheidSansHeading" w:hAnsi="RijksoverheidSansHeading" w:cs="RijksoverheidSansHeading"/>
          <w:sz w:val="20"/>
          <w:szCs w:val="20"/>
        </w:rPr>
        <w:t>:</w:t>
      </w:r>
    </w:p>
    <w:p w14:paraId="46012B69" w14:textId="77777777" w:rsidR="0084499B" w:rsidRPr="0084499B" w:rsidRDefault="0084499B" w:rsidP="0084499B">
      <w:pPr>
        <w:pStyle w:val="Default"/>
        <w:rPr>
          <w:rFonts w:ascii="RijksoverheidSansHeading" w:hAnsi="RijksoverheidSansHeading"/>
          <w:sz w:val="20"/>
          <w:szCs w:val="20"/>
        </w:rPr>
      </w:pPr>
    </w:p>
    <w:p w14:paraId="097FDEE3" w14:textId="77777777" w:rsidR="000D7DE2" w:rsidRDefault="0084499B" w:rsidP="0084499B">
      <w:pPr>
        <w:pStyle w:val="Default"/>
        <w:numPr>
          <w:ilvl w:val="0"/>
          <w:numId w:val="2"/>
        </w:numPr>
        <w:spacing w:line="240" w:lineRule="auto"/>
        <w:rPr>
          <w:rFonts w:ascii="RijksoverheidSansHeading" w:hAnsi="RijksoverheidSansHeading"/>
          <w:sz w:val="20"/>
          <w:szCs w:val="20"/>
        </w:rPr>
      </w:pPr>
      <w:r w:rsidRPr="0084499B">
        <w:rPr>
          <w:rFonts w:ascii="RijksoverheidSansHeading" w:hAnsi="RijksoverheidSansHeading"/>
          <w:sz w:val="20"/>
          <w:szCs w:val="20"/>
        </w:rPr>
        <w:t>Een eigen kwaliteitssysteem dat vergelijkbaar is aan 27001:2020.</w:t>
      </w:r>
    </w:p>
    <w:p w14:paraId="701A0137" w14:textId="77777777" w:rsidR="000D7DE2" w:rsidRDefault="0084499B" w:rsidP="0084499B">
      <w:pPr>
        <w:pStyle w:val="Default"/>
        <w:numPr>
          <w:ilvl w:val="0"/>
          <w:numId w:val="2"/>
        </w:numPr>
        <w:spacing w:line="240" w:lineRule="auto"/>
        <w:rPr>
          <w:rFonts w:ascii="RijksoverheidSansHeading" w:hAnsi="RijksoverheidSansHeading"/>
          <w:sz w:val="20"/>
          <w:szCs w:val="20"/>
        </w:rPr>
      </w:pPr>
      <w:r w:rsidRPr="0084499B">
        <w:rPr>
          <w:rFonts w:ascii="RijksoverheidSansHeading" w:hAnsi="RijksoverheidSansHeading"/>
          <w:sz w:val="20"/>
          <w:szCs w:val="20"/>
        </w:rPr>
        <w:t xml:space="preserve"> Inschrijver dient naast een verklaring dat zij beschikt over een gelijkwaardig kwaliteitssysteem, een beschrijving van het kwaliteitssysteem te geven met daarbij welke punten en in welke mate het systeem overeenkomt en/of afwijkt van het van toepassing zijnde 27001:2020 systeem. </w:t>
      </w:r>
    </w:p>
    <w:p w14:paraId="41D56A9B" w14:textId="10A6F537" w:rsidR="0084499B" w:rsidRPr="0084499B" w:rsidRDefault="0084499B" w:rsidP="0084499B">
      <w:pPr>
        <w:pStyle w:val="Default"/>
        <w:numPr>
          <w:ilvl w:val="0"/>
          <w:numId w:val="2"/>
        </w:numPr>
        <w:spacing w:line="240" w:lineRule="auto"/>
        <w:rPr>
          <w:rFonts w:ascii="RijksoverheidSansHeading" w:hAnsi="RijksoverheidSansHeading"/>
          <w:sz w:val="20"/>
          <w:szCs w:val="20"/>
        </w:rPr>
      </w:pPr>
      <w:r w:rsidRPr="0084499B">
        <w:rPr>
          <w:rFonts w:ascii="RijksoverheidSansHeading" w:hAnsi="RijksoverheidSansHeading"/>
          <w:sz w:val="20"/>
          <w:szCs w:val="20"/>
        </w:rPr>
        <w:t xml:space="preserve">In geval van afwijkingen dient door inschrijver te worden toegelicht waarom het systeem desalniettemin gelijkwaardig is. </w:t>
      </w:r>
    </w:p>
    <w:p w14:paraId="336795ED" w14:textId="77777777" w:rsidR="0084499B" w:rsidRPr="0084499B" w:rsidRDefault="0084499B" w:rsidP="0084499B">
      <w:pPr>
        <w:pStyle w:val="Default"/>
        <w:ind w:left="720"/>
        <w:rPr>
          <w:rFonts w:ascii="RijksoverheidSansHeading" w:hAnsi="RijksoverheidSansHeading"/>
          <w:sz w:val="20"/>
          <w:szCs w:val="20"/>
        </w:rPr>
      </w:pPr>
    </w:p>
    <w:p w14:paraId="27EF61DE" w14:textId="44894AFB" w:rsidR="0084499B" w:rsidRPr="0084499B" w:rsidRDefault="0084499B" w:rsidP="0084499B">
      <w:pPr>
        <w:rPr>
          <w:rFonts w:ascii="RijksoverheidSansHeading" w:hAnsi="RijksoverheidSansHeading"/>
          <w:sz w:val="20"/>
          <w:szCs w:val="20"/>
        </w:rPr>
      </w:pPr>
      <w:r w:rsidRPr="0084499B">
        <w:rPr>
          <w:rFonts w:ascii="RijksoverheidSansHeading" w:hAnsi="RijksoverheidSansHeading"/>
          <w:sz w:val="20"/>
          <w:szCs w:val="20"/>
        </w:rPr>
        <w:t xml:space="preserve">Indien </w:t>
      </w:r>
      <w:r w:rsidR="00F27B5B">
        <w:rPr>
          <w:rFonts w:ascii="RijksoverheidSansHeading" w:hAnsi="RijksoverheidSansHeading"/>
          <w:sz w:val="20"/>
          <w:szCs w:val="20"/>
        </w:rPr>
        <w:t xml:space="preserve">de </w:t>
      </w:r>
      <w:r w:rsidRPr="0084499B">
        <w:rPr>
          <w:rFonts w:ascii="RijksoverheidSansHeading" w:hAnsi="RijksoverheidSansHeading"/>
          <w:sz w:val="20"/>
          <w:szCs w:val="20"/>
        </w:rPr>
        <w:t xml:space="preserve"> gelijkwaardigheid naar het oordeel van opdrachtgever niet wordt aangetoond, wordt niet voldaan aan deze geschiktheidseis. Voor ISO 27001:2020 mag ook worden gelezen ISO 27001:2017, ISO 27001:2015 of ISO 27001:2013.</w:t>
      </w:r>
    </w:p>
    <w:p w14:paraId="2ABDF95B" w14:textId="6BF39540" w:rsidR="0084499B" w:rsidRDefault="0084499B" w:rsidP="0084499B">
      <w:pPr>
        <w:rPr>
          <w:rFonts w:ascii="RijksoverheidSansHeading" w:hAnsi="RijksoverheidSansHeading"/>
          <w:sz w:val="20"/>
          <w:szCs w:val="20"/>
        </w:rPr>
      </w:pPr>
    </w:p>
    <w:p w14:paraId="5A5E5281" w14:textId="7A0E909B" w:rsidR="0084499B" w:rsidRPr="0084499B" w:rsidRDefault="0084499B" w:rsidP="0084499B">
      <w:pPr>
        <w:rPr>
          <w:rFonts w:ascii="RijksoverheidSansHeading" w:hAnsi="RijksoverheidSansHeading"/>
          <w:sz w:val="20"/>
          <w:szCs w:val="20"/>
        </w:rPr>
      </w:pPr>
      <w:r w:rsidRPr="0084499B">
        <w:rPr>
          <w:rFonts w:ascii="RijksoverheidSansHeading" w:hAnsi="RijksoverheidSansHeading"/>
          <w:sz w:val="20"/>
          <w:szCs w:val="20"/>
        </w:rPr>
        <w:t>Indien er vragen zijn dan wil u verwijzen naar de 2</w:t>
      </w:r>
      <w:r w:rsidRPr="0084499B">
        <w:rPr>
          <w:rFonts w:ascii="RijksoverheidSansHeading" w:hAnsi="RijksoverheidSansHeading"/>
          <w:sz w:val="20"/>
          <w:szCs w:val="20"/>
          <w:vertAlign w:val="superscript"/>
        </w:rPr>
        <w:t>e</w:t>
      </w:r>
      <w:r w:rsidRPr="0084499B">
        <w:rPr>
          <w:rFonts w:ascii="RijksoverheidSansHeading" w:hAnsi="RijksoverheidSansHeading"/>
          <w:sz w:val="20"/>
          <w:szCs w:val="20"/>
        </w:rPr>
        <w:t xml:space="preserve"> ronde van de Nota van Inlichtingen</w:t>
      </w:r>
      <w:r w:rsidRPr="0084499B">
        <w:rPr>
          <w:rFonts w:ascii="RijksoverheidSansHeading" w:hAnsi="RijksoverheidSansHeading"/>
          <w:sz w:val="20"/>
          <w:szCs w:val="20"/>
        </w:rPr>
        <w:br/>
        <w:t xml:space="preserve">Uiterste datum voor het stellen van vragen is 21-08-2023 voor 10.00 uur.  </w:t>
      </w:r>
      <w:r w:rsidRPr="0084499B">
        <w:rPr>
          <w:rFonts w:ascii="RijksoverheidSansHeading" w:hAnsi="RijksoverheidSansHeading"/>
          <w:sz w:val="20"/>
          <w:szCs w:val="20"/>
        </w:rPr>
        <w:br/>
        <w:t xml:space="preserve">De beantwoording van de NVI 2 zal op 24-08-2023 op </w:t>
      </w:r>
      <w:proofErr w:type="spellStart"/>
      <w:r w:rsidRPr="0084499B">
        <w:rPr>
          <w:rFonts w:ascii="RijksoverheidSansHeading" w:hAnsi="RijksoverheidSansHeading"/>
          <w:sz w:val="20"/>
          <w:szCs w:val="20"/>
        </w:rPr>
        <w:t>Tenderned</w:t>
      </w:r>
      <w:proofErr w:type="spellEnd"/>
      <w:r w:rsidRPr="0084499B">
        <w:rPr>
          <w:rFonts w:ascii="RijksoverheidSansHeading" w:hAnsi="RijksoverheidSansHeading"/>
          <w:sz w:val="20"/>
          <w:szCs w:val="20"/>
        </w:rPr>
        <w:t xml:space="preserve"> gepubliceerd worden. </w:t>
      </w:r>
    </w:p>
    <w:p w14:paraId="0AC1E848" w14:textId="68C8359F" w:rsidR="007F70D6" w:rsidRPr="0084499B" w:rsidRDefault="0084499B">
      <w:pPr>
        <w:rPr>
          <w:rFonts w:ascii="RijksoverheidSansHeading" w:hAnsi="RijksoverheidSansHeading"/>
          <w:sz w:val="20"/>
          <w:szCs w:val="20"/>
        </w:rPr>
      </w:pPr>
      <w:r w:rsidRPr="0084499B">
        <w:rPr>
          <w:rFonts w:ascii="RijksoverheidSansHeading" w:hAnsi="RijksoverheidSansHeading"/>
          <w:sz w:val="20"/>
          <w:szCs w:val="20"/>
        </w:rPr>
        <w:t xml:space="preserve">Met vriendelijke groeten, </w:t>
      </w:r>
    </w:p>
    <w:p w14:paraId="63BDFD96" w14:textId="590F8635" w:rsidR="0084499B" w:rsidRPr="0084499B" w:rsidRDefault="0084499B">
      <w:pPr>
        <w:rPr>
          <w:rFonts w:ascii="RijksoverheidSansHeading" w:hAnsi="RijksoverheidSansHeading"/>
          <w:sz w:val="20"/>
          <w:szCs w:val="20"/>
        </w:rPr>
      </w:pPr>
      <w:r w:rsidRPr="0084499B">
        <w:rPr>
          <w:rFonts w:ascii="RijksoverheidSansHeading" w:hAnsi="RijksoverheidSansHeading"/>
          <w:sz w:val="20"/>
          <w:szCs w:val="20"/>
        </w:rPr>
        <w:t>Debbie Woutersen</w:t>
      </w:r>
      <w:r w:rsidRPr="0084499B">
        <w:rPr>
          <w:rFonts w:ascii="RijksoverheidSansHeading" w:hAnsi="RijksoverheidSansHeading"/>
          <w:sz w:val="20"/>
          <w:szCs w:val="20"/>
        </w:rPr>
        <w:br/>
        <w:t>Inkoopadviseur, Inkoop Uitvoeringscentrum Belastingdienst</w:t>
      </w:r>
    </w:p>
    <w:sectPr w:rsidR="0084499B" w:rsidRPr="00844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RijksoverheidSansHeading">
    <w:panose1 w:val="020B0503040202060203"/>
    <w:charset w:val="00"/>
    <w:family w:val="swiss"/>
    <w:notTrueType/>
    <w:pitch w:val="variable"/>
    <w:sig w:usb0="00000087" w:usb1="00000001"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50017"/>
    <w:multiLevelType w:val="multilevel"/>
    <w:tmpl w:val="D8CE06AC"/>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b w:val="0"/>
      </w:rPr>
    </w:lvl>
    <w:lvl w:ilvl="2">
      <w:start w:val="1"/>
      <w:numFmt w:val="decimal"/>
      <w:pStyle w:val="Kop3"/>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22C0435"/>
    <w:multiLevelType w:val="hybridMultilevel"/>
    <w:tmpl w:val="F5BA66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9611948">
    <w:abstractNumId w:val="0"/>
  </w:num>
  <w:num w:numId="2" w16cid:durableId="1629893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9B"/>
    <w:rsid w:val="000D7DE2"/>
    <w:rsid w:val="00451BEA"/>
    <w:rsid w:val="007F70D6"/>
    <w:rsid w:val="0084499B"/>
    <w:rsid w:val="00B85B1B"/>
    <w:rsid w:val="00B92104"/>
    <w:rsid w:val="00BF17BF"/>
    <w:rsid w:val="00F145B0"/>
    <w:rsid w:val="00F27B5B"/>
    <w:rsid w:val="00F360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D620"/>
  <w15:chartTrackingRefBased/>
  <w15:docId w15:val="{9EAFAE6E-DB7B-4F2F-A4F6-8935F6B5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499B"/>
    <w:rPr>
      <w:rFonts w:ascii="Verdana" w:hAnsi="Verdana"/>
      <w:sz w:val="18"/>
    </w:rPr>
  </w:style>
  <w:style w:type="paragraph" w:styleId="Kop1">
    <w:name w:val="heading 1"/>
    <w:basedOn w:val="Standaard"/>
    <w:next w:val="Standaard"/>
    <w:link w:val="Kop1Char"/>
    <w:uiPriority w:val="9"/>
    <w:qFormat/>
    <w:rsid w:val="0084499B"/>
    <w:pPr>
      <w:keepNext/>
      <w:keepLines/>
      <w:numPr>
        <w:numId w:val="1"/>
      </w:numPr>
      <w:spacing w:before="240" w:after="0"/>
      <w:outlineLvl w:val="0"/>
    </w:pPr>
    <w:rPr>
      <w:rFonts w:eastAsiaTheme="majorEastAsia" w:cstheme="majorBidi"/>
      <w:color w:val="2F5496" w:themeColor="accent1" w:themeShade="BF"/>
      <w:sz w:val="28"/>
      <w:szCs w:val="32"/>
    </w:rPr>
  </w:style>
  <w:style w:type="paragraph" w:styleId="Kop2">
    <w:name w:val="heading 2"/>
    <w:basedOn w:val="Kop1"/>
    <w:next w:val="Standaard"/>
    <w:link w:val="Kop2Char"/>
    <w:uiPriority w:val="9"/>
    <w:unhideWhenUsed/>
    <w:qFormat/>
    <w:rsid w:val="0084499B"/>
    <w:pPr>
      <w:numPr>
        <w:ilvl w:val="1"/>
      </w:numPr>
      <w:outlineLvl w:val="1"/>
    </w:pPr>
    <w:rPr>
      <w:sz w:val="24"/>
      <w:szCs w:val="24"/>
    </w:rPr>
  </w:style>
  <w:style w:type="paragraph" w:styleId="Kop3">
    <w:name w:val="heading 3"/>
    <w:basedOn w:val="Kop2"/>
    <w:next w:val="Standaard"/>
    <w:link w:val="Kop3Char"/>
    <w:qFormat/>
    <w:rsid w:val="0084499B"/>
    <w:pPr>
      <w:numPr>
        <w:ilvl w:val="2"/>
      </w:numPr>
      <w:outlineLvl w:val="2"/>
    </w:pPr>
    <w:rPr>
      <w:sz w:val="20"/>
      <w:szCs w:val="20"/>
    </w:rPr>
  </w:style>
  <w:style w:type="paragraph" w:styleId="Kop4">
    <w:name w:val="heading 4"/>
    <w:basedOn w:val="Standaard"/>
    <w:next w:val="Standaard"/>
    <w:link w:val="Kop4Char"/>
    <w:uiPriority w:val="9"/>
    <w:unhideWhenUsed/>
    <w:qFormat/>
    <w:rsid w:val="008449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99B"/>
    <w:rPr>
      <w:rFonts w:ascii="Verdana" w:eastAsiaTheme="majorEastAsia" w:hAnsi="Verdana" w:cstheme="majorBidi"/>
      <w:color w:val="2F5496" w:themeColor="accent1" w:themeShade="BF"/>
      <w:sz w:val="28"/>
      <w:szCs w:val="32"/>
    </w:rPr>
  </w:style>
  <w:style w:type="character" w:customStyle="1" w:styleId="Kop2Char">
    <w:name w:val="Kop 2 Char"/>
    <w:basedOn w:val="Standaardalinea-lettertype"/>
    <w:link w:val="Kop2"/>
    <w:uiPriority w:val="9"/>
    <w:rsid w:val="0084499B"/>
    <w:rPr>
      <w:rFonts w:ascii="Verdana" w:eastAsiaTheme="majorEastAsia" w:hAnsi="Verdana" w:cstheme="majorBidi"/>
      <w:color w:val="2F5496" w:themeColor="accent1" w:themeShade="BF"/>
      <w:sz w:val="24"/>
      <w:szCs w:val="24"/>
    </w:rPr>
  </w:style>
  <w:style w:type="character" w:customStyle="1" w:styleId="Kop3Char">
    <w:name w:val="Kop 3 Char"/>
    <w:basedOn w:val="Standaardalinea-lettertype"/>
    <w:link w:val="Kop3"/>
    <w:rsid w:val="0084499B"/>
    <w:rPr>
      <w:rFonts w:ascii="Verdana" w:eastAsiaTheme="majorEastAsia" w:hAnsi="Verdana" w:cstheme="majorBidi"/>
      <w:color w:val="2F5496" w:themeColor="accent1" w:themeShade="BF"/>
      <w:sz w:val="20"/>
      <w:szCs w:val="20"/>
    </w:rPr>
  </w:style>
  <w:style w:type="character" w:styleId="Verwijzingopmerking">
    <w:name w:val="annotation reference"/>
    <w:basedOn w:val="Standaardalinea-lettertype"/>
    <w:uiPriority w:val="99"/>
    <w:semiHidden/>
    <w:unhideWhenUsed/>
    <w:rsid w:val="0084499B"/>
    <w:rPr>
      <w:sz w:val="16"/>
      <w:szCs w:val="16"/>
    </w:rPr>
  </w:style>
  <w:style w:type="paragraph" w:styleId="Tekstopmerking">
    <w:name w:val="annotation text"/>
    <w:basedOn w:val="Standaard"/>
    <w:link w:val="TekstopmerkingChar"/>
    <w:uiPriority w:val="99"/>
    <w:unhideWhenUsed/>
    <w:rsid w:val="0084499B"/>
    <w:pPr>
      <w:spacing w:line="240" w:lineRule="auto"/>
    </w:pPr>
    <w:rPr>
      <w:sz w:val="20"/>
      <w:szCs w:val="20"/>
    </w:rPr>
  </w:style>
  <w:style w:type="character" w:customStyle="1" w:styleId="TekstopmerkingChar">
    <w:name w:val="Tekst opmerking Char"/>
    <w:basedOn w:val="Standaardalinea-lettertype"/>
    <w:link w:val="Tekstopmerking"/>
    <w:uiPriority w:val="99"/>
    <w:rsid w:val="0084499B"/>
    <w:rPr>
      <w:rFonts w:ascii="Verdana" w:hAnsi="Verdana"/>
      <w:sz w:val="20"/>
      <w:szCs w:val="20"/>
    </w:rPr>
  </w:style>
  <w:style w:type="paragraph" w:customStyle="1" w:styleId="Default">
    <w:name w:val="Default"/>
    <w:link w:val="DefaultChar"/>
    <w:qFormat/>
    <w:rsid w:val="0084499B"/>
    <w:pPr>
      <w:autoSpaceDE w:val="0"/>
      <w:autoSpaceDN w:val="0"/>
      <w:adjustRightInd w:val="0"/>
      <w:spacing w:after="0" w:line="276" w:lineRule="auto"/>
    </w:pPr>
    <w:rPr>
      <w:rFonts w:ascii="Arial" w:eastAsia="Calibri" w:hAnsi="Arial" w:cs="BAFCC A+ Univers"/>
      <w:color w:val="000000"/>
      <w:sz w:val="19"/>
      <w:szCs w:val="24"/>
      <w:lang w:eastAsia="nl-NL"/>
    </w:rPr>
  </w:style>
  <w:style w:type="character" w:customStyle="1" w:styleId="DefaultChar">
    <w:name w:val="Default Char"/>
    <w:basedOn w:val="Standaardalinea-lettertype"/>
    <w:link w:val="Default"/>
    <w:rsid w:val="0084499B"/>
    <w:rPr>
      <w:rFonts w:ascii="Arial" w:eastAsia="Calibri" w:hAnsi="Arial" w:cs="BAFCC A+ Univers"/>
      <w:color w:val="000000"/>
      <w:sz w:val="19"/>
      <w:szCs w:val="24"/>
      <w:lang w:eastAsia="nl-NL"/>
    </w:rPr>
  </w:style>
  <w:style w:type="character" w:customStyle="1" w:styleId="Kop4Char">
    <w:name w:val="Kop 4 Char"/>
    <w:basedOn w:val="Standaardalinea-lettertype"/>
    <w:link w:val="Kop4"/>
    <w:uiPriority w:val="9"/>
    <w:rsid w:val="0084499B"/>
    <w:rPr>
      <w:rFonts w:asciiTheme="majorHAnsi" w:eastAsiaTheme="majorEastAsia" w:hAnsiTheme="majorHAnsi" w:cstheme="majorBidi"/>
      <w:i/>
      <w:iCs/>
      <w:color w:val="2F5496" w:themeColor="accent1" w:themeShade="BF"/>
      <w:sz w:val="18"/>
    </w:rPr>
  </w:style>
  <w:style w:type="table" w:styleId="Tabelraster">
    <w:name w:val="Table Grid"/>
    <w:aliases w:val="BFF 1 Table Grid"/>
    <w:basedOn w:val="Standaardtabel"/>
    <w:uiPriority w:val="59"/>
    <w:rsid w:val="0084499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D7DE2"/>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 Woutersen</dc:creator>
  <cp:keywords/>
  <dc:description/>
  <cp:lastModifiedBy>Debbie D. Woutersen</cp:lastModifiedBy>
  <cp:revision>2</cp:revision>
  <dcterms:created xsi:type="dcterms:W3CDTF">2023-08-14T14:26:00Z</dcterms:created>
  <dcterms:modified xsi:type="dcterms:W3CDTF">2023-08-14T14:26:00Z</dcterms:modified>
</cp:coreProperties>
</file>