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426D" w14:textId="31C4ABD2" w:rsidR="004D1085" w:rsidRPr="004D1085" w:rsidRDefault="004D1085">
      <w:pPr>
        <w:rPr>
          <w:b/>
          <w:bCs/>
          <w:sz w:val="36"/>
          <w:szCs w:val="36"/>
        </w:rPr>
      </w:pPr>
      <w:r w:rsidRPr="004D1085">
        <w:rPr>
          <w:b/>
          <w:bCs/>
          <w:sz w:val="36"/>
          <w:szCs w:val="36"/>
        </w:rPr>
        <w:t>Bijlage 9 Referenties</w:t>
      </w:r>
      <w:r w:rsidR="008B1F1B">
        <w:rPr>
          <w:b/>
          <w:bCs/>
          <w:sz w:val="36"/>
          <w:szCs w:val="36"/>
        </w:rPr>
        <w:t xml:space="preserve"> toelichting</w:t>
      </w:r>
    </w:p>
    <w:p w14:paraId="33D0E39D" w14:textId="06532AFF" w:rsidR="000F5BF9" w:rsidRDefault="004D1085">
      <w:proofErr w:type="gramStart"/>
      <w:r>
        <w:t>Conform</w:t>
      </w:r>
      <w:proofErr w:type="gramEnd"/>
      <w:r>
        <w:t xml:space="preserve"> de Geschiktheidseisen van paragraaf 5.2 tot en met 5.5 van de Inkoopleidraad</w:t>
      </w:r>
    </w:p>
    <w:p w14:paraId="3FA52359" w14:textId="3D49D557" w:rsidR="004D1085" w:rsidRDefault="004D1085"/>
    <w:p w14:paraId="548A336F" w14:textId="76468256" w:rsidR="004D1085" w:rsidRPr="00292F0D" w:rsidRDefault="004D1085">
      <w:pPr>
        <w:rPr>
          <w:b/>
          <w:bCs/>
        </w:rPr>
      </w:pPr>
      <w:r w:rsidRPr="00292F0D">
        <w:rPr>
          <w:b/>
          <w:bCs/>
        </w:rPr>
        <w:t>Toelichting</w:t>
      </w:r>
    </w:p>
    <w:p w14:paraId="0A030C37" w14:textId="0398BD78" w:rsidR="004D1085" w:rsidRDefault="004D1085"/>
    <w:p w14:paraId="15A9512E" w14:textId="4ADFBCE9" w:rsidR="004D1085" w:rsidRDefault="004D1085">
      <w:r>
        <w:t>Voor de percelen en de daarbij behorende opties vraagt de gemeente</w:t>
      </w:r>
      <w:r w:rsidR="00292F0D">
        <w:t xml:space="preserve"> – in de meeste gevallen - referenties. Een aantal referenties hebben een specifieke opdrachtwaarde, een aantal referenties hebben betrekking op bepaalde kwaliteitseisen die gesteld worden aan de dienstverlening en bij een aantal opties vragen we geen referenties.</w:t>
      </w:r>
    </w:p>
    <w:p w14:paraId="76F6A6CA" w14:textId="63F8549C" w:rsidR="00292F0D" w:rsidRDefault="00292F0D">
      <w:r>
        <w:t xml:space="preserve">In het onderstaande overzicht zijn al deze referenties </w:t>
      </w:r>
      <w:r w:rsidR="001F4A11">
        <w:t xml:space="preserve">op een rij </w:t>
      </w:r>
      <w:r>
        <w:t xml:space="preserve">gezet zodat u </w:t>
      </w:r>
      <w:r w:rsidR="001F4A11">
        <w:t xml:space="preserve">bij </w:t>
      </w:r>
      <w:r w:rsidR="00AC165A">
        <w:t>aanmeld</w:t>
      </w:r>
      <w:r w:rsidR="001F4A11">
        <w:t>ing</w:t>
      </w:r>
      <w:r>
        <w:t xml:space="preserve"> voor een perceel en/of optie(s) </w:t>
      </w:r>
      <w:r w:rsidR="001F4A11">
        <w:t>direct</w:t>
      </w:r>
      <w:r>
        <w:t xml:space="preserve"> ziet wat u moet inleveren en welke bijlage u daarvoor moet gebruiken.</w:t>
      </w:r>
    </w:p>
    <w:p w14:paraId="259B2CD1" w14:textId="77777777" w:rsidR="007F2E23" w:rsidRDefault="007F2E23"/>
    <w:p w14:paraId="0B6EB991" w14:textId="581BC930" w:rsidR="00292F0D" w:rsidRDefault="00292F0D">
      <w:r>
        <w:t>De referenties moeten altijd op orde zijn</w:t>
      </w:r>
      <w:r w:rsidR="001F4A11">
        <w:t>. Z</w:t>
      </w:r>
      <w:r>
        <w:t>onder de gevraagde referenties worden percelen/opties niet gegund. Als u bijvoorbeeld een opdrachtwaarde niet haalt, dan wordt het perceel/optie niet gegun</w:t>
      </w:r>
      <w:r w:rsidR="00AF2A15">
        <w:t>d.</w:t>
      </w:r>
      <w:r w:rsidR="00892C1C">
        <w:t xml:space="preserve"> </w:t>
      </w:r>
      <w:r w:rsidR="00F80CBD">
        <w:t xml:space="preserve">U kunt zich niet inschrijven voor een Optie zonder het algemene deel van het Perceel. </w:t>
      </w:r>
    </w:p>
    <w:p w14:paraId="36B90536" w14:textId="7309BDF5" w:rsidR="008F2DF8" w:rsidRDefault="008F2DF8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271"/>
        <w:gridCol w:w="2268"/>
        <w:gridCol w:w="4536"/>
        <w:gridCol w:w="992"/>
      </w:tblGrid>
      <w:tr w:rsidR="004D1085" w14:paraId="21726F2E" w14:textId="77777777" w:rsidTr="006E5B14">
        <w:tc>
          <w:tcPr>
            <w:tcW w:w="1271" w:type="dxa"/>
            <w:shd w:val="clear" w:color="auto" w:fill="auto"/>
          </w:tcPr>
          <w:p w14:paraId="43304D60" w14:textId="1EC46B9C" w:rsidR="004D1085" w:rsidRPr="00292F0D" w:rsidRDefault="004D1085">
            <w:pPr>
              <w:rPr>
                <w:b/>
                <w:bCs/>
              </w:rPr>
            </w:pPr>
            <w:r w:rsidRPr="00292F0D">
              <w:rPr>
                <w:b/>
                <w:bCs/>
              </w:rPr>
              <w:t>Perceel of optie</w:t>
            </w:r>
          </w:p>
        </w:tc>
        <w:tc>
          <w:tcPr>
            <w:tcW w:w="2268" w:type="dxa"/>
            <w:shd w:val="clear" w:color="auto" w:fill="auto"/>
          </w:tcPr>
          <w:p w14:paraId="2F153B43" w14:textId="71330521" w:rsidR="004D1085" w:rsidRPr="00292F0D" w:rsidRDefault="004D1085">
            <w:pPr>
              <w:rPr>
                <w:b/>
                <w:bCs/>
              </w:rPr>
            </w:pPr>
            <w:r w:rsidRPr="00292F0D">
              <w:rPr>
                <w:b/>
                <w:bCs/>
              </w:rPr>
              <w:t>Omschrijving</w:t>
            </w:r>
          </w:p>
        </w:tc>
        <w:tc>
          <w:tcPr>
            <w:tcW w:w="4536" w:type="dxa"/>
            <w:shd w:val="clear" w:color="auto" w:fill="auto"/>
          </w:tcPr>
          <w:p w14:paraId="5C8F3595" w14:textId="3ED4EB20" w:rsidR="004D1085" w:rsidRPr="00292F0D" w:rsidRDefault="004D1085">
            <w:pPr>
              <w:rPr>
                <w:b/>
                <w:bCs/>
              </w:rPr>
            </w:pPr>
            <w:r w:rsidRPr="00292F0D">
              <w:rPr>
                <w:b/>
                <w:bCs/>
              </w:rPr>
              <w:t>Soort referentie</w:t>
            </w:r>
          </w:p>
        </w:tc>
        <w:tc>
          <w:tcPr>
            <w:tcW w:w="992" w:type="dxa"/>
            <w:shd w:val="clear" w:color="auto" w:fill="auto"/>
          </w:tcPr>
          <w:p w14:paraId="7D077077" w14:textId="73A1070F" w:rsidR="004D1085" w:rsidRPr="00292F0D" w:rsidRDefault="004D1085">
            <w:pPr>
              <w:rPr>
                <w:b/>
                <w:bCs/>
              </w:rPr>
            </w:pPr>
            <w:r w:rsidRPr="00292F0D">
              <w:rPr>
                <w:b/>
                <w:bCs/>
              </w:rPr>
              <w:t>Bijlage</w:t>
            </w:r>
          </w:p>
        </w:tc>
      </w:tr>
      <w:tr w:rsidR="008F2DF8" w14:paraId="51AB8D94" w14:textId="77777777" w:rsidTr="006E5B14">
        <w:tc>
          <w:tcPr>
            <w:tcW w:w="1271" w:type="dxa"/>
            <w:shd w:val="clear" w:color="auto" w:fill="B4C6E7" w:themeFill="accent1" w:themeFillTint="66"/>
          </w:tcPr>
          <w:p w14:paraId="18577241" w14:textId="50F88B0C" w:rsidR="008F2DF8" w:rsidRDefault="008F2DF8">
            <w:r>
              <w:t>Perceel 1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6DC6DCA9" w14:textId="6D7A9619" w:rsidR="008F2DF8" w:rsidRDefault="008F2DF8">
            <w:r>
              <w:t>Voeren van een huishouden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73C6BBC0" w14:textId="77777777" w:rsidR="005D7A0D" w:rsidRDefault="008F2DF8">
            <w:r>
              <w:t>Referentie met een opdrachtwaarde van</w:t>
            </w:r>
          </w:p>
          <w:p w14:paraId="010C3051" w14:textId="61076551" w:rsidR="008F2DF8" w:rsidRDefault="008F2DF8">
            <w:r>
              <w:t>€ 200.000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4BA63CB6" w14:textId="4361A199" w:rsidR="008F2DF8" w:rsidRDefault="008F2DF8">
            <w:r>
              <w:t>9A</w:t>
            </w:r>
          </w:p>
        </w:tc>
      </w:tr>
      <w:tr w:rsidR="008F2DF8" w14:paraId="0ACC06D5" w14:textId="77777777" w:rsidTr="006E5B14">
        <w:tc>
          <w:tcPr>
            <w:tcW w:w="1271" w:type="dxa"/>
          </w:tcPr>
          <w:p w14:paraId="3D6346C0" w14:textId="267FCB2D" w:rsidR="008F2DF8" w:rsidRDefault="008F2DF8">
            <w:r>
              <w:t>Optie 1</w:t>
            </w:r>
          </w:p>
        </w:tc>
        <w:tc>
          <w:tcPr>
            <w:tcW w:w="2268" w:type="dxa"/>
          </w:tcPr>
          <w:p w14:paraId="249E0161" w14:textId="071EA8A8" w:rsidR="008F2DF8" w:rsidRDefault="008F2DF8">
            <w:r>
              <w:t>Kindzorg</w:t>
            </w:r>
          </w:p>
        </w:tc>
        <w:tc>
          <w:tcPr>
            <w:tcW w:w="4536" w:type="dxa"/>
          </w:tcPr>
          <w:p w14:paraId="5CA7A09B" w14:textId="7AAD8648" w:rsidR="008F2DF8" w:rsidRPr="00292F0D" w:rsidRDefault="008F2DF8">
            <w:pPr>
              <w:rPr>
                <w:i/>
                <w:iCs/>
              </w:rPr>
            </w:pPr>
            <w:r w:rsidRPr="00292F0D">
              <w:rPr>
                <w:i/>
                <w:iCs/>
              </w:rPr>
              <w:t>Geen referentie</w:t>
            </w:r>
          </w:p>
        </w:tc>
        <w:tc>
          <w:tcPr>
            <w:tcW w:w="992" w:type="dxa"/>
          </w:tcPr>
          <w:p w14:paraId="25C94742" w14:textId="77777777" w:rsidR="008F2DF8" w:rsidRDefault="008F2DF8"/>
        </w:tc>
      </w:tr>
      <w:tr w:rsidR="008F2DF8" w14:paraId="755386C4" w14:textId="77777777" w:rsidTr="006E5B14">
        <w:tc>
          <w:tcPr>
            <w:tcW w:w="1271" w:type="dxa"/>
          </w:tcPr>
          <w:p w14:paraId="502ED40C" w14:textId="1CBD3768" w:rsidR="008F2DF8" w:rsidRDefault="008F2DF8">
            <w:r>
              <w:t>Optie 2</w:t>
            </w:r>
          </w:p>
        </w:tc>
        <w:tc>
          <w:tcPr>
            <w:tcW w:w="2268" w:type="dxa"/>
          </w:tcPr>
          <w:p w14:paraId="2F89B2D1" w14:textId="3FE9E7CF" w:rsidR="008F2DF8" w:rsidRDefault="008F2DF8">
            <w:r>
              <w:t>Ondersteuning bij praktische zaken</w:t>
            </w:r>
          </w:p>
        </w:tc>
        <w:tc>
          <w:tcPr>
            <w:tcW w:w="4536" w:type="dxa"/>
          </w:tcPr>
          <w:p w14:paraId="509DC953" w14:textId="0F5EBE43" w:rsidR="008F2DF8" w:rsidRPr="00292F0D" w:rsidRDefault="008F2DF8">
            <w:pPr>
              <w:rPr>
                <w:i/>
                <w:iCs/>
              </w:rPr>
            </w:pPr>
            <w:r w:rsidRPr="00292F0D">
              <w:rPr>
                <w:i/>
                <w:iCs/>
              </w:rPr>
              <w:t>Geen referentie</w:t>
            </w:r>
          </w:p>
        </w:tc>
        <w:tc>
          <w:tcPr>
            <w:tcW w:w="992" w:type="dxa"/>
          </w:tcPr>
          <w:p w14:paraId="50416758" w14:textId="77777777" w:rsidR="008F2DF8" w:rsidRDefault="008F2DF8"/>
        </w:tc>
      </w:tr>
      <w:tr w:rsidR="008F2DF8" w14:paraId="3F6EDBA5" w14:textId="77777777" w:rsidTr="006E5B14">
        <w:tc>
          <w:tcPr>
            <w:tcW w:w="1271" w:type="dxa"/>
            <w:shd w:val="clear" w:color="auto" w:fill="B4C6E7" w:themeFill="accent1" w:themeFillTint="66"/>
          </w:tcPr>
          <w:p w14:paraId="2066089D" w14:textId="60BA8857" w:rsidR="008F2DF8" w:rsidRDefault="008F2DF8">
            <w:r>
              <w:t>Perceel 2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71E82003" w14:textId="77777777" w:rsidR="008F2DF8" w:rsidRDefault="008F2DF8">
            <w:r>
              <w:t>Sociaal &amp; Persoonlijk functioneren en</w:t>
            </w:r>
          </w:p>
          <w:p w14:paraId="056528CF" w14:textId="37091144" w:rsidR="008F2DF8" w:rsidRDefault="008F2DF8">
            <w:r>
              <w:t>Zelfzorg &amp; Gezondheid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74EDE72A" w14:textId="77777777" w:rsidR="005D7A0D" w:rsidRDefault="008F2DF8">
            <w:r>
              <w:t>Referentie met een opdrachtwaarde van</w:t>
            </w:r>
          </w:p>
          <w:p w14:paraId="14DB4267" w14:textId="4DBA08BC" w:rsidR="008F2DF8" w:rsidRDefault="008F2DF8">
            <w:r>
              <w:t>€ 200.000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3A8F1B8C" w14:textId="13813943" w:rsidR="008F2DF8" w:rsidRDefault="008F2DF8">
            <w:r>
              <w:t>9A</w:t>
            </w:r>
          </w:p>
        </w:tc>
      </w:tr>
      <w:tr w:rsidR="008F2DF8" w14:paraId="12820017" w14:textId="77777777" w:rsidTr="006E5B14">
        <w:tc>
          <w:tcPr>
            <w:tcW w:w="1271" w:type="dxa"/>
          </w:tcPr>
          <w:p w14:paraId="1AED106D" w14:textId="01A55908" w:rsidR="008F2DF8" w:rsidRDefault="008F2DF8">
            <w:r>
              <w:t>Optie 1</w:t>
            </w:r>
          </w:p>
        </w:tc>
        <w:tc>
          <w:tcPr>
            <w:tcW w:w="2268" w:type="dxa"/>
          </w:tcPr>
          <w:p w14:paraId="139BE404" w14:textId="6BD29EC4" w:rsidR="008F2DF8" w:rsidRDefault="008F2DF8">
            <w:r>
              <w:t>Financiën</w:t>
            </w:r>
          </w:p>
        </w:tc>
        <w:tc>
          <w:tcPr>
            <w:tcW w:w="4536" w:type="dxa"/>
          </w:tcPr>
          <w:p w14:paraId="5E872CB1" w14:textId="7D0B3AB4" w:rsidR="008F2DF8" w:rsidRDefault="008F2DF8">
            <w:r>
              <w:t>Referentie met diploma’s</w:t>
            </w:r>
          </w:p>
        </w:tc>
        <w:tc>
          <w:tcPr>
            <w:tcW w:w="992" w:type="dxa"/>
          </w:tcPr>
          <w:p w14:paraId="02CA67D5" w14:textId="2E292F45" w:rsidR="008F2DF8" w:rsidRDefault="005D7A0D">
            <w:r>
              <w:t>9B</w:t>
            </w:r>
          </w:p>
        </w:tc>
      </w:tr>
      <w:tr w:rsidR="008F2DF8" w14:paraId="7CCF5BCD" w14:textId="77777777" w:rsidTr="006E5B14">
        <w:trPr>
          <w:trHeight w:val="495"/>
        </w:trPr>
        <w:tc>
          <w:tcPr>
            <w:tcW w:w="1271" w:type="dxa"/>
          </w:tcPr>
          <w:p w14:paraId="204A1EF1" w14:textId="7F797903" w:rsidR="008F2DF8" w:rsidRDefault="008F2DF8">
            <w:r>
              <w:t>Optie 2</w:t>
            </w:r>
          </w:p>
        </w:tc>
        <w:tc>
          <w:tcPr>
            <w:tcW w:w="2268" w:type="dxa"/>
          </w:tcPr>
          <w:p w14:paraId="5691B9F3" w14:textId="7258A1A6" w:rsidR="008F2DF8" w:rsidRDefault="008F2DF8">
            <w:r>
              <w:t>Bereik- en beschikbaarheid</w:t>
            </w:r>
          </w:p>
        </w:tc>
        <w:tc>
          <w:tcPr>
            <w:tcW w:w="4536" w:type="dxa"/>
          </w:tcPr>
          <w:p w14:paraId="2F97742C" w14:textId="17A63563" w:rsidR="008F2DF8" w:rsidRDefault="008F2DF8">
            <w:r>
              <w:t>Referentie waaruit blijkt dat u dit heeft aangeboden</w:t>
            </w:r>
          </w:p>
        </w:tc>
        <w:tc>
          <w:tcPr>
            <w:tcW w:w="992" w:type="dxa"/>
          </w:tcPr>
          <w:p w14:paraId="60508E1B" w14:textId="2CA65FDE" w:rsidR="008F2DF8" w:rsidRDefault="005D7A0D">
            <w:r>
              <w:t>9B</w:t>
            </w:r>
          </w:p>
        </w:tc>
      </w:tr>
      <w:tr w:rsidR="008F2DF8" w14:paraId="5BC14843" w14:textId="77777777" w:rsidTr="006E5B14">
        <w:tc>
          <w:tcPr>
            <w:tcW w:w="1271" w:type="dxa"/>
          </w:tcPr>
          <w:p w14:paraId="3A01BBD6" w14:textId="53832CEC" w:rsidR="008F2DF8" w:rsidRDefault="008F2DF8">
            <w:r>
              <w:t>Optie 3</w:t>
            </w:r>
          </w:p>
        </w:tc>
        <w:tc>
          <w:tcPr>
            <w:tcW w:w="2268" w:type="dxa"/>
          </w:tcPr>
          <w:p w14:paraId="6F8FDE06" w14:textId="620D682A" w:rsidR="008F2DF8" w:rsidRDefault="008F2DF8">
            <w:r>
              <w:t>Wonen plus</w:t>
            </w:r>
          </w:p>
        </w:tc>
        <w:tc>
          <w:tcPr>
            <w:tcW w:w="4536" w:type="dxa"/>
          </w:tcPr>
          <w:p w14:paraId="3900F74C" w14:textId="77777777" w:rsidR="005D7A0D" w:rsidRDefault="004D1085">
            <w:r>
              <w:t>Referentie met een opdrachtwaarde van</w:t>
            </w:r>
          </w:p>
          <w:p w14:paraId="7D4591D9" w14:textId="18FCE59A" w:rsidR="008F2DF8" w:rsidRDefault="004D1085">
            <w:r>
              <w:t>€ 200.000</w:t>
            </w:r>
          </w:p>
        </w:tc>
        <w:tc>
          <w:tcPr>
            <w:tcW w:w="992" w:type="dxa"/>
          </w:tcPr>
          <w:p w14:paraId="70F933D4" w14:textId="16491365" w:rsidR="008F2DF8" w:rsidRDefault="005D7A0D">
            <w:r>
              <w:t>9A</w:t>
            </w:r>
          </w:p>
        </w:tc>
      </w:tr>
      <w:tr w:rsidR="008F2DF8" w14:paraId="47F5CC4F" w14:textId="77777777" w:rsidTr="006E5B14">
        <w:tc>
          <w:tcPr>
            <w:tcW w:w="1271" w:type="dxa"/>
          </w:tcPr>
          <w:p w14:paraId="20FE0C68" w14:textId="3BC10287" w:rsidR="008F2DF8" w:rsidRDefault="008F2DF8">
            <w:r>
              <w:t>Optie 4</w:t>
            </w:r>
          </w:p>
        </w:tc>
        <w:tc>
          <w:tcPr>
            <w:tcW w:w="2268" w:type="dxa"/>
          </w:tcPr>
          <w:p w14:paraId="4D2EB1FF" w14:textId="79932C75" w:rsidR="008F2DF8" w:rsidRDefault="008F2DF8">
            <w:r>
              <w:t>Wonen intensief</w:t>
            </w:r>
          </w:p>
        </w:tc>
        <w:tc>
          <w:tcPr>
            <w:tcW w:w="4536" w:type="dxa"/>
          </w:tcPr>
          <w:p w14:paraId="54D1C2D1" w14:textId="77777777" w:rsidR="005D7A0D" w:rsidRDefault="004D1085">
            <w:r>
              <w:t>Referentie met een opdrachtwaarde van</w:t>
            </w:r>
          </w:p>
          <w:p w14:paraId="136F50AB" w14:textId="4D73214F" w:rsidR="008F2DF8" w:rsidRDefault="004D1085">
            <w:r>
              <w:t>€ 1.750.000</w:t>
            </w:r>
          </w:p>
        </w:tc>
        <w:tc>
          <w:tcPr>
            <w:tcW w:w="992" w:type="dxa"/>
          </w:tcPr>
          <w:p w14:paraId="3076591C" w14:textId="39827C71" w:rsidR="008F2DF8" w:rsidRDefault="005D7A0D">
            <w:r>
              <w:t>9A</w:t>
            </w:r>
          </w:p>
        </w:tc>
      </w:tr>
      <w:tr w:rsidR="008F2DF8" w14:paraId="5A116E3A" w14:textId="77777777" w:rsidTr="006E5B14">
        <w:trPr>
          <w:trHeight w:val="312"/>
        </w:trPr>
        <w:tc>
          <w:tcPr>
            <w:tcW w:w="1271" w:type="dxa"/>
          </w:tcPr>
          <w:p w14:paraId="51D7291E" w14:textId="62BCA100" w:rsidR="008F2DF8" w:rsidRDefault="008F2DF8" w:rsidP="0089437D">
            <w:r>
              <w:t>Optie 5</w:t>
            </w:r>
          </w:p>
        </w:tc>
        <w:tc>
          <w:tcPr>
            <w:tcW w:w="2268" w:type="dxa"/>
          </w:tcPr>
          <w:p w14:paraId="465151AB" w14:textId="52A2BCE4" w:rsidR="008F2DF8" w:rsidRDefault="008F2DF8" w:rsidP="0089437D">
            <w:r>
              <w:t>Forfaitaire periode</w:t>
            </w:r>
          </w:p>
        </w:tc>
        <w:tc>
          <w:tcPr>
            <w:tcW w:w="4536" w:type="dxa"/>
          </w:tcPr>
          <w:p w14:paraId="38B6EAEF" w14:textId="515A2C53" w:rsidR="008F2DF8" w:rsidRPr="006E5B14" w:rsidRDefault="006E5B14" w:rsidP="0089437D">
            <w:r w:rsidRPr="006E5B14">
              <w:t>Referenties in het werken met dak- en thuislozen en/of ervaring met ondersteuning aan cliënten waarbij sprake is van zorgmijding en/of de veiligheid van cliënt in het geding is.</w:t>
            </w:r>
          </w:p>
        </w:tc>
        <w:tc>
          <w:tcPr>
            <w:tcW w:w="992" w:type="dxa"/>
          </w:tcPr>
          <w:p w14:paraId="5C5F962F" w14:textId="63147076" w:rsidR="008F2DF8" w:rsidRDefault="005D7A0D" w:rsidP="0089437D">
            <w:r>
              <w:t>9B</w:t>
            </w:r>
          </w:p>
        </w:tc>
      </w:tr>
      <w:tr w:rsidR="008F2DF8" w14:paraId="5D75D682" w14:textId="77777777" w:rsidTr="006E5B14">
        <w:tc>
          <w:tcPr>
            <w:tcW w:w="1271" w:type="dxa"/>
          </w:tcPr>
          <w:p w14:paraId="69BE8926" w14:textId="405B63DA" w:rsidR="008F2DF8" w:rsidRDefault="008F2DF8" w:rsidP="0089437D">
            <w:r>
              <w:t>Optie 6</w:t>
            </w:r>
          </w:p>
        </w:tc>
        <w:tc>
          <w:tcPr>
            <w:tcW w:w="2268" w:type="dxa"/>
          </w:tcPr>
          <w:p w14:paraId="4DA06E17" w14:textId="023EC93C" w:rsidR="008F2DF8" w:rsidRDefault="008F2DF8" w:rsidP="0089437D">
            <w:r>
              <w:t>Jeugdigen</w:t>
            </w:r>
          </w:p>
        </w:tc>
        <w:tc>
          <w:tcPr>
            <w:tcW w:w="4536" w:type="dxa"/>
          </w:tcPr>
          <w:p w14:paraId="1EAC48CA" w14:textId="2138149B" w:rsidR="008F2DF8" w:rsidRDefault="004D1085" w:rsidP="0089437D">
            <w:r>
              <w:t>Referentie met ervaring ondersteuning jeugdigen, SKJ-registraties en kwaliteitsregime Jeugdwet is van toepassing</w:t>
            </w:r>
          </w:p>
        </w:tc>
        <w:tc>
          <w:tcPr>
            <w:tcW w:w="992" w:type="dxa"/>
          </w:tcPr>
          <w:p w14:paraId="52713E74" w14:textId="73025D32" w:rsidR="008F2DF8" w:rsidRDefault="005D7A0D" w:rsidP="0089437D">
            <w:r>
              <w:t>9B</w:t>
            </w:r>
          </w:p>
        </w:tc>
      </w:tr>
      <w:tr w:rsidR="008F2DF8" w14:paraId="6EE27ABD" w14:textId="77777777" w:rsidTr="006E5B14">
        <w:tc>
          <w:tcPr>
            <w:tcW w:w="1271" w:type="dxa"/>
          </w:tcPr>
          <w:p w14:paraId="0CB3286C" w14:textId="192D36F2" w:rsidR="008F2DF8" w:rsidRDefault="008F2DF8" w:rsidP="0089437D">
            <w:r>
              <w:t>Optie 7</w:t>
            </w:r>
          </w:p>
        </w:tc>
        <w:tc>
          <w:tcPr>
            <w:tcW w:w="2268" w:type="dxa"/>
          </w:tcPr>
          <w:p w14:paraId="50227FFD" w14:textId="0E619118" w:rsidR="008F2DF8" w:rsidRDefault="008F2DF8" w:rsidP="0089437D">
            <w:r>
              <w:t>Logeren</w:t>
            </w:r>
          </w:p>
        </w:tc>
        <w:tc>
          <w:tcPr>
            <w:tcW w:w="4536" w:type="dxa"/>
          </w:tcPr>
          <w:p w14:paraId="5694F50F" w14:textId="5B098D94" w:rsidR="008F2DF8" w:rsidRPr="00292F0D" w:rsidRDefault="004D1085" w:rsidP="0089437D">
            <w:pPr>
              <w:rPr>
                <w:i/>
                <w:iCs/>
              </w:rPr>
            </w:pPr>
            <w:r w:rsidRPr="00292F0D">
              <w:rPr>
                <w:i/>
                <w:iCs/>
              </w:rPr>
              <w:t>Geen referentie</w:t>
            </w:r>
          </w:p>
        </w:tc>
        <w:tc>
          <w:tcPr>
            <w:tcW w:w="992" w:type="dxa"/>
          </w:tcPr>
          <w:p w14:paraId="2B8A2CB9" w14:textId="77777777" w:rsidR="008F2DF8" w:rsidRDefault="008F2DF8" w:rsidP="0089437D"/>
        </w:tc>
      </w:tr>
      <w:tr w:rsidR="008F2DF8" w14:paraId="14157521" w14:textId="77777777" w:rsidTr="006E5B14">
        <w:trPr>
          <w:trHeight w:val="288"/>
        </w:trPr>
        <w:tc>
          <w:tcPr>
            <w:tcW w:w="1271" w:type="dxa"/>
          </w:tcPr>
          <w:p w14:paraId="76A194F0" w14:textId="445AAAF0" w:rsidR="008F2DF8" w:rsidRDefault="008F2DF8" w:rsidP="0089437D">
            <w:r>
              <w:t>Optie 8</w:t>
            </w:r>
          </w:p>
        </w:tc>
        <w:tc>
          <w:tcPr>
            <w:tcW w:w="2268" w:type="dxa"/>
          </w:tcPr>
          <w:p w14:paraId="2FDBAFC7" w14:textId="53CFAA6D" w:rsidR="008F2DF8" w:rsidRDefault="008F2DF8" w:rsidP="0089437D">
            <w:r>
              <w:t>Wonen basis</w:t>
            </w:r>
          </w:p>
        </w:tc>
        <w:tc>
          <w:tcPr>
            <w:tcW w:w="4536" w:type="dxa"/>
          </w:tcPr>
          <w:p w14:paraId="19F3310C" w14:textId="54010508" w:rsidR="008F2DF8" w:rsidRPr="00292F0D" w:rsidRDefault="008F2DF8" w:rsidP="0089437D">
            <w:pPr>
              <w:rPr>
                <w:i/>
                <w:iCs/>
              </w:rPr>
            </w:pPr>
            <w:r w:rsidRPr="00292F0D">
              <w:rPr>
                <w:i/>
                <w:iCs/>
              </w:rPr>
              <w:t>Geen referentie</w:t>
            </w:r>
          </w:p>
        </w:tc>
        <w:tc>
          <w:tcPr>
            <w:tcW w:w="992" w:type="dxa"/>
          </w:tcPr>
          <w:p w14:paraId="21AD6557" w14:textId="77777777" w:rsidR="008F2DF8" w:rsidRDefault="008F2DF8" w:rsidP="0089437D"/>
        </w:tc>
      </w:tr>
      <w:tr w:rsidR="008F2DF8" w14:paraId="6EE29B64" w14:textId="77777777" w:rsidTr="006E5B14">
        <w:tc>
          <w:tcPr>
            <w:tcW w:w="1271" w:type="dxa"/>
            <w:shd w:val="clear" w:color="auto" w:fill="B4C6E7" w:themeFill="accent1" w:themeFillTint="66"/>
          </w:tcPr>
          <w:p w14:paraId="163B2126" w14:textId="5578EFDD" w:rsidR="008F2DF8" w:rsidRDefault="008F2DF8" w:rsidP="0089437D">
            <w:r>
              <w:t>Perceel 2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75735E15" w14:textId="2EB6DD25" w:rsidR="008F2DF8" w:rsidRDefault="004D1085" w:rsidP="0089437D">
            <w:r>
              <w:t>Dagbesteding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774068E1" w14:textId="77777777" w:rsidR="005D7A0D" w:rsidRDefault="004D1085" w:rsidP="0089437D">
            <w:r>
              <w:t>Referentie met een opdrachtwaarde van</w:t>
            </w:r>
          </w:p>
          <w:p w14:paraId="65ED3D12" w14:textId="3DA8292D" w:rsidR="008F2DF8" w:rsidRDefault="004D1085" w:rsidP="0089437D">
            <w:r>
              <w:t>€ 50.000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594CB5AD" w14:textId="6674E48E" w:rsidR="008F2DF8" w:rsidRDefault="005D7A0D" w:rsidP="0089437D">
            <w:r>
              <w:t>9A</w:t>
            </w:r>
          </w:p>
        </w:tc>
      </w:tr>
      <w:tr w:rsidR="008F2DF8" w14:paraId="2EB3DF9D" w14:textId="77777777" w:rsidTr="006E5B14">
        <w:tc>
          <w:tcPr>
            <w:tcW w:w="1271" w:type="dxa"/>
          </w:tcPr>
          <w:p w14:paraId="06703A9A" w14:textId="7DED59AB" w:rsidR="008F2DF8" w:rsidRDefault="008F2DF8" w:rsidP="0089437D">
            <w:r>
              <w:t>Optie 1</w:t>
            </w:r>
          </w:p>
        </w:tc>
        <w:tc>
          <w:tcPr>
            <w:tcW w:w="2268" w:type="dxa"/>
          </w:tcPr>
          <w:p w14:paraId="1A84CF62" w14:textId="3966F35F" w:rsidR="008F2DF8" w:rsidRDefault="008F2DF8" w:rsidP="0089437D">
            <w:r>
              <w:t>Jeugdigen</w:t>
            </w:r>
          </w:p>
        </w:tc>
        <w:tc>
          <w:tcPr>
            <w:tcW w:w="4536" w:type="dxa"/>
          </w:tcPr>
          <w:p w14:paraId="7414A73C" w14:textId="0CD4A8F1" w:rsidR="008F2DF8" w:rsidRDefault="004D1085" w:rsidP="0089437D">
            <w:r w:rsidRPr="004D1085">
              <w:t>Referentie met ervaring ondersteuning jeugdigen, SKJ-registraties en kwaliteitsregime Jeugdwet is van toepassing</w:t>
            </w:r>
          </w:p>
        </w:tc>
        <w:tc>
          <w:tcPr>
            <w:tcW w:w="992" w:type="dxa"/>
          </w:tcPr>
          <w:p w14:paraId="57609152" w14:textId="63EE2C76" w:rsidR="008F2DF8" w:rsidRDefault="005D7A0D" w:rsidP="0089437D">
            <w:r>
              <w:t>9B</w:t>
            </w:r>
          </w:p>
        </w:tc>
      </w:tr>
    </w:tbl>
    <w:p w14:paraId="7CA8DA1D" w14:textId="77777777" w:rsidR="006E5B14" w:rsidRDefault="006E5B14">
      <w:pPr>
        <w:rPr>
          <w:b/>
          <w:bCs/>
        </w:rPr>
      </w:pPr>
    </w:p>
    <w:p w14:paraId="57C95BEF" w14:textId="0B635462" w:rsidR="008F2DF8" w:rsidRPr="00AF2A15" w:rsidRDefault="00AF2A15">
      <w:pPr>
        <w:rPr>
          <w:b/>
          <w:bCs/>
        </w:rPr>
      </w:pPr>
      <w:r w:rsidRPr="00AF2A15">
        <w:rPr>
          <w:b/>
          <w:bCs/>
        </w:rPr>
        <w:lastRenderedPageBreak/>
        <w:t>Een referentie moet aan de volgende voorwaarden voldoen</w:t>
      </w:r>
    </w:p>
    <w:p w14:paraId="330FB7AC" w14:textId="7D060ECF" w:rsidR="00AF2A15" w:rsidRDefault="00AF2A15"/>
    <w:p w14:paraId="56993BD5" w14:textId="77777777" w:rsidR="00AF2A15" w:rsidRPr="00AF2A15" w:rsidRDefault="00AF2A15">
      <w:pPr>
        <w:rPr>
          <w:i/>
          <w:iCs/>
        </w:rPr>
      </w:pPr>
      <w:r w:rsidRPr="00AF2A15">
        <w:rPr>
          <w:i/>
          <w:iCs/>
        </w:rPr>
        <w:t>Het formulier</w:t>
      </w:r>
    </w:p>
    <w:p w14:paraId="565858A1" w14:textId="3149F999" w:rsidR="00AF2A15" w:rsidRDefault="00AF2A15" w:rsidP="00215FFC">
      <w:pPr>
        <w:pStyle w:val="Lijstalinea"/>
        <w:numPr>
          <w:ilvl w:val="0"/>
          <w:numId w:val="3"/>
        </w:numPr>
        <w:ind w:left="284" w:hanging="284"/>
      </w:pPr>
      <w:r>
        <w:t>Gebruik de bijlage die door de gemeente is voorgeschreven. Maak geen eigen formats voor uw referentie.</w:t>
      </w:r>
    </w:p>
    <w:p w14:paraId="4A91A85A" w14:textId="50F44F06" w:rsidR="002D1679" w:rsidRDefault="002D1679"/>
    <w:p w14:paraId="47887A36" w14:textId="4FB1C6A8" w:rsidR="002D1679" w:rsidRPr="002D1679" w:rsidRDefault="002D1679">
      <w:pPr>
        <w:rPr>
          <w:i/>
          <w:iCs/>
        </w:rPr>
      </w:pPr>
      <w:r w:rsidRPr="002D1679">
        <w:rPr>
          <w:i/>
          <w:iCs/>
        </w:rPr>
        <w:t>Controle van de referentie</w:t>
      </w:r>
    </w:p>
    <w:p w14:paraId="407B3B38" w14:textId="77777777" w:rsidR="00C15516" w:rsidRDefault="002D1679" w:rsidP="00F80CBD">
      <w:pPr>
        <w:pStyle w:val="Lijstalinea"/>
        <w:numPr>
          <w:ilvl w:val="0"/>
          <w:numId w:val="2"/>
        </w:numPr>
        <w:ind w:left="284" w:hanging="284"/>
      </w:pPr>
      <w:r>
        <w:t>De gemeente controleert de referentie altijd bij de door u opgegeven referent.</w:t>
      </w:r>
    </w:p>
    <w:p w14:paraId="0CA366BD" w14:textId="48D2DCB5" w:rsidR="00791EA8" w:rsidRDefault="002D1679" w:rsidP="00791EA8">
      <w:pPr>
        <w:pStyle w:val="Lijstalinea"/>
        <w:numPr>
          <w:ilvl w:val="0"/>
          <w:numId w:val="2"/>
        </w:numPr>
        <w:ind w:left="284" w:hanging="284"/>
      </w:pPr>
      <w:r>
        <w:t xml:space="preserve">Het is van belang dat </w:t>
      </w:r>
      <w:r w:rsidR="004317DD">
        <w:t>u de contactgegevens van uw referent invult zodat wij de referent via telefoon en/of mail kunnen bereiken</w:t>
      </w:r>
      <w:r w:rsidR="00791EA8">
        <w:t>.</w:t>
      </w:r>
      <w:r w:rsidR="005D7A0D">
        <w:t xml:space="preserve"> </w:t>
      </w:r>
    </w:p>
    <w:p w14:paraId="0CE66DFC" w14:textId="44B26CAD" w:rsidR="002D1679" w:rsidRDefault="00F80CBD" w:rsidP="00F80CBD">
      <w:pPr>
        <w:pStyle w:val="Lijstalinea"/>
        <w:numPr>
          <w:ilvl w:val="0"/>
          <w:numId w:val="2"/>
        </w:numPr>
        <w:ind w:left="284" w:hanging="284"/>
      </w:pPr>
      <w:r>
        <w:t>L</w:t>
      </w:r>
      <w:r w:rsidR="005D7A0D">
        <w:t>aat de referent de referentie voor akkoord onderteken</w:t>
      </w:r>
      <w:r w:rsidR="00791EA8">
        <w:t>d</w:t>
      </w:r>
      <w:r w:rsidR="005D7A0D">
        <w:t>en.</w:t>
      </w:r>
    </w:p>
    <w:p w14:paraId="461ECBDF" w14:textId="1B24B1A1" w:rsidR="004317DD" w:rsidRDefault="004317DD" w:rsidP="00F80CBD">
      <w:pPr>
        <w:pStyle w:val="Lijstalinea"/>
        <w:numPr>
          <w:ilvl w:val="0"/>
          <w:numId w:val="2"/>
        </w:numPr>
        <w:ind w:left="284" w:hanging="284"/>
      </w:pPr>
      <w:r>
        <w:t>Stem de referentie goed af met uw referent en zorg ervoor dat er bij vakantie/ziekte altijd iemand is die de referentie kan bevestigen.</w:t>
      </w:r>
    </w:p>
    <w:p w14:paraId="461F788D" w14:textId="19EE985D" w:rsidR="004317DD" w:rsidRDefault="004317DD" w:rsidP="00F80CBD">
      <w:pPr>
        <w:pStyle w:val="Lijstalinea"/>
        <w:numPr>
          <w:ilvl w:val="0"/>
          <w:numId w:val="2"/>
        </w:numPr>
        <w:ind w:left="284" w:hanging="284"/>
      </w:pPr>
      <w:r>
        <w:t xml:space="preserve">Als het </w:t>
      </w:r>
      <w:r w:rsidR="00791EA8">
        <w:t xml:space="preserve">de gemeente </w:t>
      </w:r>
      <w:r w:rsidR="00C15516">
        <w:t xml:space="preserve">niet </w:t>
      </w:r>
      <w:r>
        <w:t xml:space="preserve">lukt de referentie bevestigd te krijgen, </w:t>
      </w:r>
      <w:r w:rsidR="00791EA8">
        <w:t xml:space="preserve">dan </w:t>
      </w:r>
      <w:r>
        <w:t>wordt deze afgewezen.</w:t>
      </w:r>
    </w:p>
    <w:p w14:paraId="051E0212" w14:textId="0AB01460" w:rsidR="002D1679" w:rsidRDefault="002D1679" w:rsidP="00F80CBD">
      <w:pPr>
        <w:pStyle w:val="Lijstalinea"/>
        <w:numPr>
          <w:ilvl w:val="0"/>
          <w:numId w:val="2"/>
        </w:numPr>
        <w:ind w:left="284" w:hanging="284"/>
      </w:pPr>
      <w:r>
        <w:t xml:space="preserve">Voor de controle </w:t>
      </w:r>
      <w:r w:rsidR="004317DD">
        <w:t xml:space="preserve">van de referentie </w:t>
      </w:r>
      <w:r>
        <w:t>vragen wij vooraf geen toestemming.</w:t>
      </w:r>
    </w:p>
    <w:p w14:paraId="1FFC5D92" w14:textId="77777777" w:rsidR="00AF2A15" w:rsidRDefault="00AF2A15"/>
    <w:p w14:paraId="6C73066B" w14:textId="2F9E6E73" w:rsidR="00AF2A15" w:rsidRPr="00AF2A15" w:rsidRDefault="00AF2A15">
      <w:pPr>
        <w:rPr>
          <w:i/>
          <w:iCs/>
        </w:rPr>
      </w:pPr>
      <w:r w:rsidRPr="00AF2A15">
        <w:rPr>
          <w:i/>
          <w:iCs/>
        </w:rPr>
        <w:t>De opdrachtwaarde</w:t>
      </w:r>
    </w:p>
    <w:p w14:paraId="6C000565" w14:textId="084830B5" w:rsidR="00AF2A15" w:rsidRDefault="006D1B5E" w:rsidP="006D1B5E">
      <w:pPr>
        <w:ind w:left="426" w:hanging="426"/>
      </w:pPr>
      <w:r w:rsidRPr="00215FFC">
        <w:rPr>
          <w:rFonts w:cstheme="minorHAnsi"/>
        </w:rPr>
        <w:t>●</w:t>
      </w:r>
      <w:r w:rsidRPr="00215FFC">
        <w:tab/>
      </w:r>
      <w:r w:rsidR="00791EA8">
        <w:t>E</w:t>
      </w:r>
      <w:r w:rsidR="00AF2A15">
        <w:t xml:space="preserve">en referentie met een opdrachtwaarde </w:t>
      </w:r>
      <w:r w:rsidR="00F80CBD">
        <w:t>is</w:t>
      </w:r>
      <w:r w:rsidR="00AF2A15">
        <w:t xml:space="preserve"> in euro’s </w:t>
      </w:r>
      <w:r w:rsidR="00791EA8">
        <w:t>(</w:t>
      </w:r>
      <w:r w:rsidR="00AF2A15">
        <w:t>exclusief BTW</w:t>
      </w:r>
      <w:r w:rsidR="00791EA8">
        <w:t>)</w:t>
      </w:r>
      <w:r w:rsidR="00AF2A15">
        <w:t>.</w:t>
      </w:r>
    </w:p>
    <w:p w14:paraId="052D32BA" w14:textId="31FFB182" w:rsidR="00C15516" w:rsidRDefault="00C15516"/>
    <w:p w14:paraId="39499AF3" w14:textId="314C8659" w:rsidR="00C15516" w:rsidRPr="00C15516" w:rsidRDefault="00C15516">
      <w:pPr>
        <w:rPr>
          <w:i/>
          <w:iCs/>
        </w:rPr>
      </w:pPr>
      <w:r w:rsidRPr="00C15516">
        <w:rPr>
          <w:i/>
          <w:iCs/>
        </w:rPr>
        <w:t>De periode waarbinnen de referentie plaatsvindt</w:t>
      </w:r>
    </w:p>
    <w:p w14:paraId="2A7EFD14" w14:textId="34C7BFFB" w:rsidR="00AF2A15" w:rsidRDefault="00AF2A15" w:rsidP="00215FFC">
      <w:pPr>
        <w:pStyle w:val="Lijstalinea"/>
        <w:numPr>
          <w:ilvl w:val="0"/>
          <w:numId w:val="4"/>
        </w:numPr>
        <w:ind w:left="284" w:hanging="284"/>
      </w:pPr>
      <w:r>
        <w:t xml:space="preserve">De referentie is op basis van </w:t>
      </w:r>
      <w:r w:rsidR="00C15516">
        <w:t>één</w:t>
      </w:r>
      <w:r>
        <w:t xml:space="preserve"> kalenderjaar en </w:t>
      </w:r>
      <w:r w:rsidR="00C15516">
        <w:t xml:space="preserve">dat </w:t>
      </w:r>
      <w:r>
        <w:t xml:space="preserve">loopt </w:t>
      </w:r>
      <w:r w:rsidRPr="00AF2A15">
        <w:t>van 1 januari tot en met 31 december</w:t>
      </w:r>
      <w:r>
        <w:t xml:space="preserve"> </w:t>
      </w:r>
      <w:proofErr w:type="gramStart"/>
      <w:r w:rsidRPr="00AF2A15">
        <w:t>conform</w:t>
      </w:r>
      <w:proofErr w:type="gramEnd"/>
      <w:r w:rsidRPr="00AF2A15">
        <w:t xml:space="preserve"> de verantwoording/jaarrekening.</w:t>
      </w:r>
    </w:p>
    <w:p w14:paraId="02670A6E" w14:textId="3F0D9F30" w:rsidR="00C15516" w:rsidRDefault="00C15516" w:rsidP="00215FFC">
      <w:pPr>
        <w:pStyle w:val="Lijstalinea"/>
        <w:numPr>
          <w:ilvl w:val="0"/>
          <w:numId w:val="4"/>
        </w:numPr>
        <w:ind w:left="284" w:hanging="284"/>
      </w:pPr>
      <w:r>
        <w:t>U heeft de werkzaamheden dus altijd binnen 1 jaar uitgevoerd</w:t>
      </w:r>
      <w:r w:rsidR="00791EA8">
        <w:t>. Het</w:t>
      </w:r>
      <w:r>
        <w:t xml:space="preserve"> optellen van verschillende jaren</w:t>
      </w:r>
      <w:r w:rsidR="00791EA8">
        <w:t xml:space="preserve"> (</w:t>
      </w:r>
      <w:r>
        <w:t>om bijvoorbeeld te kunnen voldoen aan de opdrachtwaarde</w:t>
      </w:r>
      <w:r w:rsidR="00791EA8">
        <w:t>)</w:t>
      </w:r>
      <w:r>
        <w:t xml:space="preserve"> is niet toegestaan.</w:t>
      </w:r>
    </w:p>
    <w:p w14:paraId="7421BEF8" w14:textId="5B990767" w:rsidR="00AC165A" w:rsidRDefault="00215FFC" w:rsidP="00215FFC">
      <w:pPr>
        <w:pStyle w:val="Lijstalinea"/>
        <w:numPr>
          <w:ilvl w:val="0"/>
          <w:numId w:val="4"/>
        </w:numPr>
        <w:ind w:left="284" w:hanging="284"/>
      </w:pPr>
      <w:r>
        <w:t>In bijlage 9A en 9B</w:t>
      </w:r>
      <w:r w:rsidR="00AC165A">
        <w:t xml:space="preserve"> staan de jaren </w:t>
      </w:r>
      <w:r w:rsidR="00791EA8">
        <w:t xml:space="preserve">aangegeven </w:t>
      </w:r>
      <w:r w:rsidR="00AC165A">
        <w:t>waarover de referentie mag gaan.</w:t>
      </w:r>
    </w:p>
    <w:p w14:paraId="2BEAF2F5" w14:textId="6F775D3E" w:rsidR="00AF2A15" w:rsidRDefault="00AF2A15"/>
    <w:p w14:paraId="140E7DF5" w14:textId="25709523" w:rsidR="00AF2A15" w:rsidRPr="00AF2A15" w:rsidRDefault="00AF2A15">
      <w:pPr>
        <w:rPr>
          <w:i/>
          <w:iCs/>
        </w:rPr>
      </w:pPr>
      <w:r w:rsidRPr="00AF2A15">
        <w:rPr>
          <w:i/>
          <w:iCs/>
        </w:rPr>
        <w:t xml:space="preserve">Meerdere referenten voor </w:t>
      </w:r>
      <w:r>
        <w:rPr>
          <w:i/>
          <w:iCs/>
        </w:rPr>
        <w:t>één</w:t>
      </w:r>
      <w:r w:rsidRPr="00AF2A15">
        <w:rPr>
          <w:i/>
          <w:iCs/>
        </w:rPr>
        <w:t xml:space="preserve"> referentie</w:t>
      </w:r>
    </w:p>
    <w:p w14:paraId="25FA3755" w14:textId="1061DE21" w:rsidR="00791EA8" w:rsidRDefault="006D1B5E" w:rsidP="00215FFC">
      <w:pPr>
        <w:pStyle w:val="Lijstalinea"/>
        <w:numPr>
          <w:ilvl w:val="0"/>
          <w:numId w:val="5"/>
        </w:numPr>
        <w:ind w:left="284" w:hanging="284"/>
      </w:pPr>
      <w:r w:rsidRPr="006D1B5E">
        <w:t>U kunt meerdere referenten opgeven om aan de gevraagde opdrachtwaarde te komen.</w:t>
      </w:r>
      <w:r w:rsidR="00215FFC">
        <w:t xml:space="preserve"> </w:t>
      </w:r>
      <w:r w:rsidR="00AF2A15">
        <w:t>U moet dan wel per referent één formulier inleveren</w:t>
      </w:r>
      <w:r w:rsidR="00791EA8">
        <w:t xml:space="preserve">. </w:t>
      </w:r>
    </w:p>
    <w:p w14:paraId="236F8006" w14:textId="45157186" w:rsidR="00AF2A15" w:rsidRDefault="00791EA8" w:rsidP="00215FFC">
      <w:pPr>
        <w:pStyle w:val="Lijstalinea"/>
        <w:numPr>
          <w:ilvl w:val="0"/>
          <w:numId w:val="5"/>
        </w:numPr>
        <w:ind w:left="284" w:hanging="284"/>
      </w:pPr>
      <w:r>
        <w:t>U</w:t>
      </w:r>
      <w:r w:rsidR="00AF2A15">
        <w:t xml:space="preserve"> moet deze opdrachten in hetzelfde kalenderjaar hebben uitgevoerd.</w:t>
      </w:r>
    </w:p>
    <w:p w14:paraId="24C68199" w14:textId="6E669C2D" w:rsidR="00AF2A15" w:rsidRDefault="00AF2A15"/>
    <w:p w14:paraId="71826321" w14:textId="7E6836A5" w:rsidR="00AF2A15" w:rsidRPr="001C19EC" w:rsidRDefault="001C19EC">
      <w:pPr>
        <w:rPr>
          <w:i/>
          <w:iCs/>
        </w:rPr>
      </w:pPr>
      <w:r w:rsidRPr="001C19EC">
        <w:rPr>
          <w:i/>
          <w:iCs/>
        </w:rPr>
        <w:t>Eén referent voor meerdere opdrachten</w:t>
      </w:r>
    </w:p>
    <w:p w14:paraId="3C4B2601" w14:textId="103A7FFD" w:rsidR="001C19EC" w:rsidRDefault="001C19EC" w:rsidP="006D1B5E">
      <w:pPr>
        <w:pStyle w:val="Lijstalinea"/>
        <w:numPr>
          <w:ilvl w:val="0"/>
          <w:numId w:val="6"/>
        </w:numPr>
        <w:ind w:left="284" w:hanging="284"/>
      </w:pPr>
      <w:r>
        <w:t xml:space="preserve">U kunt dezelfde referent meerdere malen opvoeren. </w:t>
      </w:r>
    </w:p>
    <w:p w14:paraId="77F2597F" w14:textId="1C6B848C" w:rsidR="001C19EC" w:rsidRDefault="001C19EC" w:rsidP="006D1B5E">
      <w:pPr>
        <w:pStyle w:val="Lijstalinea"/>
        <w:numPr>
          <w:ilvl w:val="0"/>
          <w:numId w:val="6"/>
        </w:numPr>
        <w:ind w:left="284" w:hanging="284"/>
      </w:pPr>
      <w:r>
        <w:t>Wel moet goed duidelijk zijn dat de referentie betrekking heeft op verschillende referenties.</w:t>
      </w:r>
    </w:p>
    <w:p w14:paraId="75489BD4" w14:textId="5846BB18" w:rsidR="001C19EC" w:rsidRDefault="001C19EC" w:rsidP="00215FFC">
      <w:pPr>
        <w:ind w:left="284"/>
      </w:pPr>
      <w:r w:rsidRPr="00215FFC">
        <w:rPr>
          <w:i/>
          <w:iCs/>
        </w:rPr>
        <w:t>1</w:t>
      </w:r>
      <w:r w:rsidRPr="00215FFC">
        <w:rPr>
          <w:i/>
          <w:iCs/>
          <w:vertAlign w:val="superscript"/>
        </w:rPr>
        <w:t>ste</w:t>
      </w:r>
      <w:r w:rsidRPr="00215FFC">
        <w:rPr>
          <w:i/>
          <w:iCs/>
        </w:rPr>
        <w:t xml:space="preserve"> voorbeeld</w:t>
      </w:r>
      <w:r w:rsidR="00215FFC">
        <w:t xml:space="preserve"> U</w:t>
      </w:r>
      <w:r>
        <w:t xml:space="preserve"> meldt zich aan voor Perceel 2 maar </w:t>
      </w:r>
      <w:r w:rsidR="00737414">
        <w:t xml:space="preserve">u </w:t>
      </w:r>
      <w:r>
        <w:t xml:space="preserve">meldt zich ook aan voor Optie 6 (Jeugdigen). U heeft deze werkzaamheden voor dezelfde opdrachtgever gedaan en </w:t>
      </w:r>
      <w:r w:rsidR="00AC165A">
        <w:t>u laat</w:t>
      </w:r>
      <w:r>
        <w:t xml:space="preserve"> deze opdrachtgever twee </w:t>
      </w:r>
      <w:r w:rsidR="00AC165A">
        <w:t>referentieformulieren invullen.</w:t>
      </w:r>
    </w:p>
    <w:p w14:paraId="05F16128" w14:textId="60F5DF76" w:rsidR="00737414" w:rsidRDefault="001C19EC" w:rsidP="00215FFC">
      <w:pPr>
        <w:ind w:left="284"/>
      </w:pPr>
      <w:r w:rsidRPr="00215FFC">
        <w:rPr>
          <w:i/>
          <w:iCs/>
        </w:rPr>
        <w:t>2</w:t>
      </w:r>
      <w:r w:rsidRPr="00215FFC">
        <w:rPr>
          <w:i/>
          <w:iCs/>
          <w:vertAlign w:val="superscript"/>
        </w:rPr>
        <w:t>de</w:t>
      </w:r>
      <w:r w:rsidRPr="00215FFC">
        <w:rPr>
          <w:i/>
          <w:iCs/>
        </w:rPr>
        <w:t xml:space="preserve"> voorbeeld</w:t>
      </w:r>
      <w:r w:rsidR="00215FFC">
        <w:t xml:space="preserve"> U</w:t>
      </w:r>
      <w:r>
        <w:t xml:space="preserve"> meldt zich </w:t>
      </w:r>
      <w:r w:rsidR="00AC165A">
        <w:t xml:space="preserve">aan </w:t>
      </w:r>
      <w:r>
        <w:t xml:space="preserve">voor Perceel 1 en voor Perceel 2. Beide werkzaamheden heeft u voor dezelfde opdrachtgever gedaan. Voor Perceel 1 en Perceel 2 moet u apart € 200.000 aan opdrachtwaarde hebben. U heeft dus voor zowel Perceel 1 als Perceel 2 minimaal een omzet van </w:t>
      </w:r>
    </w:p>
    <w:p w14:paraId="264DA497" w14:textId="7460C2E6" w:rsidR="001C19EC" w:rsidRDefault="00737414" w:rsidP="00215FFC">
      <w:pPr>
        <w:ind w:left="284"/>
      </w:pPr>
      <w:r>
        <w:t>€</w:t>
      </w:r>
      <w:r w:rsidR="001C19EC">
        <w:t xml:space="preserve"> 200.000 gehaald</w:t>
      </w:r>
      <w:r w:rsidR="00215FFC">
        <w:t xml:space="preserve"> en levert 2 referentieformulieren aan.</w:t>
      </w:r>
    </w:p>
    <w:p w14:paraId="08CB3358" w14:textId="77777777" w:rsidR="001C19EC" w:rsidRDefault="001C19EC"/>
    <w:p w14:paraId="66C39266" w14:textId="765B1B5F" w:rsidR="001C19EC" w:rsidRPr="002D1679" w:rsidRDefault="001C19EC">
      <w:pPr>
        <w:rPr>
          <w:i/>
          <w:iCs/>
        </w:rPr>
      </w:pPr>
      <w:r w:rsidRPr="002D1679">
        <w:rPr>
          <w:i/>
          <w:iCs/>
        </w:rPr>
        <w:t>Samengewerkt met een andere partij</w:t>
      </w:r>
    </w:p>
    <w:p w14:paraId="7FBA1F45" w14:textId="72FF4DF1" w:rsidR="001C19EC" w:rsidRDefault="001C19EC">
      <w:r>
        <w:t xml:space="preserve">U heeft samen met een andere partij aan een opdracht gewerkt. Bijvoorbeeld omdat u als onderaannemer heeft gewerkt. Maar het kan ook zijn dat u </w:t>
      </w:r>
      <w:r w:rsidR="002D1679">
        <w:t>de</w:t>
      </w:r>
      <w:r>
        <w:t xml:space="preserve"> hoofdaannemer </w:t>
      </w:r>
      <w:r w:rsidR="002D1679">
        <w:t>was</w:t>
      </w:r>
      <w:r>
        <w:t xml:space="preserve"> en een gedeelte van het werk in onderaanneming heeft weggezet.</w:t>
      </w:r>
      <w:r w:rsidR="00791EA8">
        <w:t xml:space="preserve"> </w:t>
      </w:r>
      <w:r w:rsidR="002D1679">
        <w:t>In dit geval kunt u alleen het deel dat u heeft uitgevoerd</w:t>
      </w:r>
      <w:r w:rsidR="00791EA8">
        <w:t>,</w:t>
      </w:r>
      <w:r w:rsidR="002D1679">
        <w:t xml:space="preserve"> opgeven voor de referentie. Het deel van uw samenwerkingspartner telt </w:t>
      </w:r>
      <w:r w:rsidR="00AC165A">
        <w:t xml:space="preserve">niet </w:t>
      </w:r>
      <w:r w:rsidR="002D1679">
        <w:t>mee voor de referentie.</w:t>
      </w:r>
    </w:p>
    <w:p w14:paraId="5CFD8817" w14:textId="62B1039C" w:rsidR="00AF2A15" w:rsidRDefault="002D1679">
      <w:r>
        <w:t>Hier is een uitzondering op: als u inschrijft in combinatie of als u bij uw aanmelding een beroep doet op uw samenwerkingspartner dan kunt u de hele waarde van de opdracht opvoeren.</w:t>
      </w:r>
    </w:p>
    <w:p w14:paraId="77D3D1A6" w14:textId="141ECF02" w:rsidR="004317DD" w:rsidRDefault="004317DD"/>
    <w:p w14:paraId="7CF84362" w14:textId="4E709370" w:rsidR="004317DD" w:rsidRPr="00C15516" w:rsidRDefault="004317DD">
      <w:pPr>
        <w:rPr>
          <w:i/>
          <w:iCs/>
        </w:rPr>
      </w:pPr>
      <w:r w:rsidRPr="00C15516">
        <w:rPr>
          <w:i/>
          <w:iCs/>
        </w:rPr>
        <w:t xml:space="preserve">Referenties van </w:t>
      </w:r>
      <w:proofErr w:type="spellStart"/>
      <w:r w:rsidRPr="00C15516">
        <w:rPr>
          <w:i/>
          <w:iCs/>
        </w:rPr>
        <w:t>PGB’s</w:t>
      </w:r>
      <w:proofErr w:type="spellEnd"/>
    </w:p>
    <w:p w14:paraId="4FD5022F" w14:textId="29B2C53C" w:rsidR="004317DD" w:rsidRDefault="004317DD">
      <w:r>
        <w:t xml:space="preserve">Als u niet eerder Zorg in Natura heeft geleverd maar wel zorg binnen het PGB, </w:t>
      </w:r>
      <w:r w:rsidR="00737414">
        <w:t xml:space="preserve">dan </w:t>
      </w:r>
      <w:r>
        <w:t xml:space="preserve">kunt u deze </w:t>
      </w:r>
      <w:r w:rsidR="00737414">
        <w:t xml:space="preserve">als referentie </w:t>
      </w:r>
      <w:r>
        <w:t>opgeven.</w:t>
      </w:r>
    </w:p>
    <w:p w14:paraId="3669343D" w14:textId="5D2756A7" w:rsidR="002D1679" w:rsidRDefault="004317DD">
      <w:r>
        <w:t xml:space="preserve">Als u </w:t>
      </w:r>
      <w:r w:rsidR="00C15516">
        <w:t>zich beroept op PGB-referenties</w:t>
      </w:r>
      <w:r>
        <w:t xml:space="preserve"> mag u niet de c</w:t>
      </w:r>
      <w:r w:rsidRPr="004317DD">
        <w:t xml:space="preserve">liënt zelf </w:t>
      </w:r>
      <w:r w:rsidR="00AC165A">
        <w:t xml:space="preserve">of </w:t>
      </w:r>
      <w:r w:rsidRPr="004317DD">
        <w:t>diens ouder/</w:t>
      </w:r>
      <w:r w:rsidR="00C15516">
        <w:t>verzorger opgeven. De referent moet</w:t>
      </w:r>
      <w:r w:rsidR="00892C1C">
        <w:t xml:space="preserve"> de financier van het PGB zijn en is dus</w:t>
      </w:r>
      <w:r w:rsidR="00C15516">
        <w:t xml:space="preserve"> een </w:t>
      </w:r>
      <w:r w:rsidR="00C15516" w:rsidRPr="00C15516">
        <w:t xml:space="preserve">vertegenwoordiger van </w:t>
      </w:r>
      <w:r w:rsidR="00737414">
        <w:t>een</w:t>
      </w:r>
      <w:r w:rsidR="00C15516" w:rsidRPr="00C15516">
        <w:t xml:space="preserve"> Gemeente, het zorgkantoor, een zorgverzekeraar of het Ministerie van Justitie en Veiligheid</w:t>
      </w:r>
      <w:r w:rsidR="00C15516">
        <w:t>.</w:t>
      </w:r>
    </w:p>
    <w:p w14:paraId="72954B23" w14:textId="6522AE13" w:rsidR="00C15516" w:rsidRDefault="00C15516">
      <w:r w:rsidRPr="00C15516">
        <w:t>Houd er wel rekening mee dat deze referenties een stuk lastiger zijn om te controleren en het lukt de gemeente niet altijd deze bevestigd te krijgen</w:t>
      </w:r>
      <w:r>
        <w:t>. Hier is</w:t>
      </w:r>
      <w:r w:rsidR="00737414">
        <w:t xml:space="preserve"> uw</w:t>
      </w:r>
      <w:r>
        <w:t xml:space="preserve"> afstemming met de financier van het PGB belangrijk om de referentie goedgekeurd te krijgen.</w:t>
      </w:r>
    </w:p>
    <w:p w14:paraId="6A8534E4" w14:textId="134B115B" w:rsidR="00104E3A" w:rsidRDefault="00104E3A"/>
    <w:p w14:paraId="41E59392" w14:textId="09F5CC31" w:rsidR="00104E3A" w:rsidRPr="00AC165A" w:rsidRDefault="00104E3A">
      <w:pPr>
        <w:rPr>
          <w:i/>
          <w:iCs/>
        </w:rPr>
      </w:pPr>
      <w:r w:rsidRPr="00AC165A">
        <w:rPr>
          <w:i/>
          <w:iCs/>
        </w:rPr>
        <w:t>Vragen</w:t>
      </w:r>
    </w:p>
    <w:p w14:paraId="5FE6B186" w14:textId="77777777" w:rsidR="00791EA8" w:rsidRDefault="00104E3A">
      <w:r>
        <w:t xml:space="preserve">Verkeerde referenties of referenties die niet voldoen aan de gestelde eisen leiden vaak tot </w:t>
      </w:r>
      <w:r w:rsidR="00892C1C">
        <w:t xml:space="preserve">een </w:t>
      </w:r>
      <w:r>
        <w:t xml:space="preserve">afwijzing. </w:t>
      </w:r>
    </w:p>
    <w:p w14:paraId="36330FD5" w14:textId="7C6C402B" w:rsidR="00104E3A" w:rsidRDefault="00104E3A">
      <w:r>
        <w:t>Heeft u vragen? Stuur dan minimaal twee weken voor de sluitingsdatum van de aanmelddatum een bericht via Tenderned met uw vraag en wij nemen dan binnen vijf werkdagen contact met u op.</w:t>
      </w:r>
    </w:p>
    <w:p w14:paraId="7EAB990A" w14:textId="3011B6E2" w:rsidR="00892C1C" w:rsidRDefault="00892C1C">
      <w:r>
        <w:t>Het tijdig aanleveren van een aanmelding blijft te allen tijde de verantwoordelijkheid van de aanmelder, ook als de gemeente later dan vijf werkdagen reageert op uw vraag.</w:t>
      </w:r>
    </w:p>
    <w:p w14:paraId="632F6907" w14:textId="2CDD19C5" w:rsidR="002D1679" w:rsidRDefault="002D1679"/>
    <w:p w14:paraId="3709FE84" w14:textId="0E1EBB2D" w:rsidR="004D6A07" w:rsidRDefault="004D6A07"/>
    <w:sectPr w:rsidR="004D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747F"/>
    <w:multiLevelType w:val="hybridMultilevel"/>
    <w:tmpl w:val="19369B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7AEB"/>
    <w:multiLevelType w:val="hybridMultilevel"/>
    <w:tmpl w:val="783024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541A7"/>
    <w:multiLevelType w:val="hybridMultilevel"/>
    <w:tmpl w:val="589CC6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4605F"/>
    <w:multiLevelType w:val="hybridMultilevel"/>
    <w:tmpl w:val="617E7F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0A96"/>
    <w:multiLevelType w:val="hybridMultilevel"/>
    <w:tmpl w:val="B9E038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C2AE2"/>
    <w:multiLevelType w:val="hybridMultilevel"/>
    <w:tmpl w:val="BAF25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2783">
    <w:abstractNumId w:val="2"/>
  </w:num>
  <w:num w:numId="2" w16cid:durableId="1385448720">
    <w:abstractNumId w:val="3"/>
  </w:num>
  <w:num w:numId="3" w16cid:durableId="128481498">
    <w:abstractNumId w:val="0"/>
  </w:num>
  <w:num w:numId="4" w16cid:durableId="1340350665">
    <w:abstractNumId w:val="5"/>
  </w:num>
  <w:num w:numId="5" w16cid:durableId="344140292">
    <w:abstractNumId w:val="1"/>
  </w:num>
  <w:num w:numId="6" w16cid:durableId="241916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F8"/>
    <w:rsid w:val="000958F6"/>
    <w:rsid w:val="000B642F"/>
    <w:rsid w:val="000F5BF9"/>
    <w:rsid w:val="00104E3A"/>
    <w:rsid w:val="00130E8D"/>
    <w:rsid w:val="001C19EC"/>
    <w:rsid w:val="001F4A11"/>
    <w:rsid w:val="00215FFC"/>
    <w:rsid w:val="002853C9"/>
    <w:rsid w:val="00292F0D"/>
    <w:rsid w:val="002D1679"/>
    <w:rsid w:val="002E7AB8"/>
    <w:rsid w:val="003F2A6E"/>
    <w:rsid w:val="004317DD"/>
    <w:rsid w:val="004C227C"/>
    <w:rsid w:val="004D1085"/>
    <w:rsid w:val="004D56B1"/>
    <w:rsid w:val="004D6A07"/>
    <w:rsid w:val="00590A8A"/>
    <w:rsid w:val="005D7A0D"/>
    <w:rsid w:val="00625814"/>
    <w:rsid w:val="00637929"/>
    <w:rsid w:val="0066375B"/>
    <w:rsid w:val="006D1B5E"/>
    <w:rsid w:val="006D2FA6"/>
    <w:rsid w:val="006E5B14"/>
    <w:rsid w:val="00737414"/>
    <w:rsid w:val="00791EA8"/>
    <w:rsid w:val="007A32F2"/>
    <w:rsid w:val="007F2E23"/>
    <w:rsid w:val="00806880"/>
    <w:rsid w:val="008728D8"/>
    <w:rsid w:val="00892C1C"/>
    <w:rsid w:val="008B1F1B"/>
    <w:rsid w:val="008C667E"/>
    <w:rsid w:val="008F2DF8"/>
    <w:rsid w:val="00902CA6"/>
    <w:rsid w:val="00960A99"/>
    <w:rsid w:val="0097311D"/>
    <w:rsid w:val="009F5F37"/>
    <w:rsid w:val="00AC165A"/>
    <w:rsid w:val="00AF2A15"/>
    <w:rsid w:val="00B62DCA"/>
    <w:rsid w:val="00BD1F8F"/>
    <w:rsid w:val="00C15516"/>
    <w:rsid w:val="00CF4A57"/>
    <w:rsid w:val="00D00262"/>
    <w:rsid w:val="00D31483"/>
    <w:rsid w:val="00D61D88"/>
    <w:rsid w:val="00DD62A7"/>
    <w:rsid w:val="00F50E94"/>
    <w:rsid w:val="00F8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1EAF64A"/>
  <w15:chartTrackingRefBased/>
  <w15:docId w15:val="{720ED9DC-FEFA-4CED-BDE6-6E5FE819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7AB8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6A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2D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4D6A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902CA6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F2A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2A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2A6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2A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2A6E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791EA8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79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83C65AE6A9F4D907466B394D23E5D" ma:contentTypeVersion="30" ma:contentTypeDescription="Een nieuw document maken." ma:contentTypeScope="" ma:versionID="e4edd1e0eab558e9776d9c66e7f0ec26">
  <xsd:schema xmlns:xsd="http://www.w3.org/2001/XMLSchema" xmlns:xs="http://www.w3.org/2001/XMLSchema" xmlns:p="http://schemas.microsoft.com/office/2006/metadata/properties" xmlns:ns1="http://schemas.microsoft.com/sharepoint/v3" xmlns:ns2="358b6cf5-3514-44bd-aee1-3cef99f12549" xmlns:ns3="ced419da-a74f-41ed-b148-f59972d4c48b" targetNamespace="http://schemas.microsoft.com/office/2006/metadata/properties" ma:root="true" ma:fieldsID="ff4cffc00e9faaac0bf71312c069224f" ns1:_="" ns2:_="" ns3:_="">
    <xsd:import namespace="http://schemas.microsoft.com/sharepoint/v3"/>
    <xsd:import namespace="358b6cf5-3514-44bd-aee1-3cef99f12549"/>
    <xsd:import namespace="ced419da-a74f-41ed-b148-f59972d4c4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3:MediaServiceMetadata" minOccurs="0"/>
                <xsd:element ref="ns3:MediaServiceFastMetadata" minOccurs="0"/>
                <xsd:element ref="ns3:Doel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Aangepast_x003a_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6cf5-3514-44bd-aee1-3cef99f125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bb03eb60f1c456383d550cda2a2ac01" ma:index="12" nillable="true" ma:taxonomy="true" ma:internalName="ebb03eb60f1c456383d550cda2a2ac01" ma:taxonomyFieldName="Teamtrefwoorden" ma:displayName="Teamtrefwoorden" ma:fieldId="{ebb03eb6-0f1c-4563-83d5-50cda2a2ac01}" ma:sspId="0f84c60b-fce4-43bd-9f97-923732063525" ma:termSetId="2461454f-864e-4d19-bf3d-227686755f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5f5d71f1-4e9f-4282-8e9d-760c71e61f33}" ma:internalName="TaxCatchAll" ma:showField="CatchAllData" ma:web="358b6cf5-3514-44bd-aee1-3cef99f12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5f5d71f1-4e9f-4282-8e9d-760c71e61f33}" ma:internalName="TaxCatchAllLabel" ma:readOnly="true" ma:showField="CatchAllDataLabel" ma:web="358b6cf5-3514-44bd-aee1-3cef99f12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7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419da-a74f-41ed-b148-f59972d4c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Doel" ma:index="21" nillable="true" ma:displayName="Doel" ma:description="Waar is het document voor bedoeld? " ma:format="Dropdown" ma:internalName="Doel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angepast_x003a_" ma:index="26" nillable="true" ma:displayName="Aangepast:" ma:description="Definitief voor TD" ma:format="Dropdown" ma:internalName="Aangepast_x003a_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Afbeeldingtags" ma:readOnly="false" ma:fieldId="{5cf76f15-5ced-4ddc-b409-7134ff3c332f}" ma:taxonomyMulti="true" ma:sspId="0f84c60b-fce4-43bd-9f97-923732063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5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oel xmlns="ced419da-a74f-41ed-b148-f59972d4c48b" xsi:nil="true"/>
    <ebb03eb60f1c456383d550cda2a2ac01 xmlns="358b6cf5-3514-44bd-aee1-3cef99f12549">
      <Terms xmlns="http://schemas.microsoft.com/office/infopath/2007/PartnerControls"/>
    </ebb03eb60f1c456383d550cda2a2ac01>
    <Aangepast_x003a_ xmlns="ced419da-a74f-41ed-b148-f59972d4c48b" xsi:nil="true"/>
    <_ip_UnifiedCompliancePolicyProperties xmlns="http://schemas.microsoft.com/sharepoint/v3" xsi:nil="true"/>
    <lcf76f155ced4ddcb4097134ff3c332f xmlns="ced419da-a74f-41ed-b148-f59972d4c48b">
      <Terms xmlns="http://schemas.microsoft.com/office/infopath/2007/PartnerControls"/>
    </lcf76f155ced4ddcb4097134ff3c332f>
    <TaxCatchAll xmlns="358b6cf5-3514-44bd-aee1-3cef99f12549" xsi:nil="true"/>
    <ofae577968ed4be8b7cfa6b3c1b2b2a3 xmlns="358b6cf5-3514-44bd-aee1-3cef99f12549">
      <Terms xmlns="http://schemas.microsoft.com/office/infopath/2007/PartnerControls"/>
    </ofae577968ed4be8b7cfa6b3c1b2b2a3>
    <TaxKeywordTaxHTField xmlns="358b6cf5-3514-44bd-aee1-3cef99f12549">
      <Terms xmlns="http://schemas.microsoft.com/office/infopath/2007/PartnerControls"/>
    </TaxKeywordTaxHTField>
    <_dlc_DocId xmlns="358b6cf5-3514-44bd-aee1-3cef99f12549">FNWWEPNF6NQS-101151953-6189</_dlc_DocId>
    <_dlc_DocIdUrl xmlns="358b6cf5-3514-44bd-aee1-3cef99f12549">
      <Url>https://denhaag.sharepoint.com/sites/SturingMWA2020_OCW_OenK/_layouts/15/DocIdRedir.aspx?ID=FNWWEPNF6NQS-101151953-6189</Url>
      <Description>FNWWEPNF6NQS-101151953-6189</Description>
    </_dlc_DocIdUrl>
  </documentManagement>
</p:properties>
</file>

<file path=customXml/itemProps1.xml><?xml version="1.0" encoding="utf-8"?>
<ds:datastoreItem xmlns:ds="http://schemas.openxmlformats.org/officeDocument/2006/customXml" ds:itemID="{004F454A-4B65-4CDD-AEA0-823BF3AE356F}"/>
</file>

<file path=customXml/itemProps2.xml><?xml version="1.0" encoding="utf-8"?>
<ds:datastoreItem xmlns:ds="http://schemas.openxmlformats.org/officeDocument/2006/customXml" ds:itemID="{43E9F513-C140-420F-B186-EBFF3D7C27A5}"/>
</file>

<file path=customXml/itemProps3.xml><?xml version="1.0" encoding="utf-8"?>
<ds:datastoreItem xmlns:ds="http://schemas.openxmlformats.org/officeDocument/2006/customXml" ds:itemID="{EDADD1DB-B859-43D7-9004-B301722B7915}"/>
</file>

<file path=customXml/itemProps4.xml><?xml version="1.0" encoding="utf-8"?>
<ds:datastoreItem xmlns:ds="http://schemas.openxmlformats.org/officeDocument/2006/customXml" ds:itemID="{D86B1249-3144-415F-BD03-BBAAAD8D72AD}"/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Bavinck</dc:creator>
  <cp:keywords/>
  <dc:description/>
  <cp:lastModifiedBy>Anna Bavinck</cp:lastModifiedBy>
  <cp:revision>7</cp:revision>
  <cp:lastPrinted>2023-11-28T10:46:00Z</cp:lastPrinted>
  <dcterms:created xsi:type="dcterms:W3CDTF">2023-11-28T12:19:00Z</dcterms:created>
  <dcterms:modified xsi:type="dcterms:W3CDTF">2023-11-28T14:25:00Z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0x01010058783C65AE6A9F4D907466B394D23E5D</vt:lpwstr>
  </property>
  <property fmtid="{D5CDD505-2E9C-101B-9397-08002B2CF9AE}" pid="3" name="_dlc_DocIdItemGuid">
    <vt:lpwstr>7fdef577-24dd-42c9-bda0-ef7b7082eb0a</vt:lpwstr>
  </property>
</Properties>
</file>