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C36" w:rsidR="00DB2C36" w:rsidP="00DB2C36" w:rsidRDefault="00DB2C36" w14:paraId="1E5AF60D" w14:textId="77777777">
      <w:pPr>
        <w:rPr>
          <w:rFonts w:ascii="Orgon" w:hAnsi="Orgon"/>
        </w:rPr>
      </w:pPr>
    </w:p>
    <w:p w:rsidRPr="00DB2C36" w:rsidR="00DB2C36" w:rsidP="00DB2C36" w:rsidRDefault="00DB2C36" w14:paraId="2701FCF0" w14:textId="77777777">
      <w:pPr>
        <w:rPr>
          <w:rFonts w:ascii="Orgon" w:hAnsi="Orgon"/>
        </w:rPr>
      </w:pPr>
    </w:p>
    <w:p w:rsidRPr="00DB2C36" w:rsidR="00DB2C36" w:rsidP="00DB2C36" w:rsidRDefault="00DB2C36" w14:paraId="10482FEF" w14:textId="6ECD5007">
      <w:pPr>
        <w:rPr>
          <w:rFonts w:ascii="Orgon" w:hAnsi="Orgon"/>
        </w:rPr>
      </w:pPr>
      <w:r w:rsidRPr="00DB2C36">
        <w:rPr>
          <w:rFonts w:ascii="Orgon" w:hAnsi="Orgon"/>
        </w:rPr>
        <w:t xml:space="preserve"> Het programma van Eisen bestaat uit een pakket van eisen met een knock-out karakter; het</w:t>
      </w:r>
    </w:p>
    <w:p w:rsidRPr="00DB2C36" w:rsidR="00DB2C36" w:rsidP="00DB2C36" w:rsidRDefault="00DB2C36" w14:paraId="3C63A7C9" w14:textId="77777777">
      <w:pPr>
        <w:rPr>
          <w:rFonts w:ascii="Orgon" w:hAnsi="Orgon"/>
        </w:rPr>
      </w:pPr>
      <w:r w:rsidRPr="00DB2C36">
        <w:rPr>
          <w:rFonts w:ascii="Orgon" w:hAnsi="Orgon"/>
        </w:rPr>
        <w:t>niet voldoen of kunnen voldoen aan één van deze eisen leidt automatisch tot uitsluiting van</w:t>
      </w:r>
    </w:p>
    <w:p w:rsidRPr="00DB2C36" w:rsidR="00DB2C36" w:rsidP="00DB2C36" w:rsidRDefault="00DB2C36" w14:paraId="56289A31" w14:textId="77777777">
      <w:pPr>
        <w:rPr>
          <w:rFonts w:ascii="Orgon" w:hAnsi="Orgon"/>
        </w:rPr>
      </w:pPr>
      <w:r w:rsidRPr="00DB2C36">
        <w:rPr>
          <w:rFonts w:ascii="Orgon" w:hAnsi="Orgon"/>
        </w:rPr>
        <w:t>verdere deelname aan deze aanbestedingsprocedure.</w:t>
      </w:r>
    </w:p>
    <w:p w:rsidRPr="00DB2C36" w:rsidR="00DB2C36" w:rsidP="00DB2C36" w:rsidRDefault="00DB2C36" w14:paraId="6EB03146" w14:textId="77777777">
      <w:pPr>
        <w:rPr>
          <w:rFonts w:ascii="Orgon" w:hAnsi="Orgon"/>
        </w:rPr>
      </w:pPr>
      <w:r w:rsidRPr="00DB2C36">
        <w:rPr>
          <w:rFonts w:ascii="Orgon" w:hAnsi="Orgon"/>
        </w:rPr>
        <w:t>Mocht een inschrijver zich niet kunnen vinden in één of meerdere eisen van het Programma</w:t>
      </w:r>
    </w:p>
    <w:p w:rsidRPr="00DB2C36" w:rsidR="00F5029E" w:rsidP="00DB2C36" w:rsidRDefault="00DB2C36" w14:paraId="34D631FF" w14:textId="785F44B6">
      <w:pPr>
        <w:rPr>
          <w:rFonts w:ascii="Orgon" w:hAnsi="Orgon"/>
        </w:rPr>
      </w:pPr>
      <w:r w:rsidRPr="00DB2C36">
        <w:rPr>
          <w:rFonts w:ascii="Orgon" w:hAnsi="Orgon"/>
        </w:rPr>
        <w:t>van Eisen, dan dient dit (tijdig) te worden aangegeven in de Nota van Inlichtingen.</w:t>
      </w:r>
    </w:p>
    <w:p w:rsidR="00DB2C36" w:rsidP="00DB2C36" w:rsidRDefault="00DB2C36" w14:paraId="61C6D060" w14:textId="77777777">
      <w:pPr>
        <w:rPr>
          <w:rFonts w:ascii="Orgon" w:hAnsi="Orgon"/>
        </w:rPr>
      </w:pPr>
    </w:p>
    <w:tbl>
      <w:tblPr>
        <w:tblStyle w:val="Tabelraster"/>
        <w:tblW w:w="0" w:type="auto"/>
        <w:tblLook w:val="04A0" w:firstRow="1" w:lastRow="0" w:firstColumn="1" w:lastColumn="0" w:noHBand="0" w:noVBand="1"/>
      </w:tblPr>
      <w:tblGrid>
        <w:gridCol w:w="1101"/>
        <w:gridCol w:w="8111"/>
      </w:tblGrid>
      <w:tr w:rsidR="00DB2C36" w:rsidTr="41981746" w14:paraId="759169B5" w14:textId="77777777">
        <w:tc>
          <w:tcPr>
            <w:tcW w:w="1101" w:type="dxa"/>
            <w:shd w:val="clear" w:color="auto" w:fill="D9D9D9" w:themeFill="background1" w:themeFillShade="D9"/>
            <w:tcMar/>
          </w:tcPr>
          <w:p w:rsidR="00DB2C36" w:rsidP="00DB2C36" w:rsidRDefault="00DB2C36" w14:paraId="7996C5EE" w14:textId="7CC26827">
            <w:pPr>
              <w:rPr>
                <w:rFonts w:ascii="Orgon" w:hAnsi="Orgon"/>
              </w:rPr>
            </w:pPr>
          </w:p>
        </w:tc>
        <w:tc>
          <w:tcPr>
            <w:tcW w:w="8111" w:type="dxa"/>
            <w:shd w:val="clear" w:color="auto" w:fill="D9D9D9" w:themeFill="background1" w:themeFillShade="D9"/>
            <w:tcMar/>
          </w:tcPr>
          <w:p w:rsidR="00DB2C36" w:rsidP="00DB2C36" w:rsidRDefault="00DB2C36" w14:paraId="283432E6" w14:textId="4922A132">
            <w:pPr>
              <w:rPr>
                <w:rFonts w:ascii="Orgon" w:hAnsi="Orgon"/>
              </w:rPr>
            </w:pPr>
            <w:r>
              <w:rPr>
                <w:rFonts w:ascii="Orgon" w:hAnsi="Orgon"/>
              </w:rPr>
              <w:t>Commerciële eisen</w:t>
            </w:r>
          </w:p>
        </w:tc>
      </w:tr>
      <w:tr w:rsidR="00DB2C36" w:rsidTr="41981746" w14:paraId="30565C76" w14:textId="77777777">
        <w:tc>
          <w:tcPr>
            <w:tcW w:w="1101" w:type="dxa"/>
            <w:tcMar/>
          </w:tcPr>
          <w:p w:rsidRPr="00DB2C36" w:rsidR="00DB2C36" w:rsidP="00DB2C36" w:rsidRDefault="00DB2C36" w14:paraId="669141E2" w14:textId="77777777">
            <w:pPr>
              <w:pStyle w:val="Lijstalinea"/>
              <w:numPr>
                <w:ilvl w:val="0"/>
                <w:numId w:val="1"/>
              </w:numPr>
              <w:jc w:val="both"/>
              <w:rPr>
                <w:rFonts w:ascii="Orgon" w:hAnsi="Orgon"/>
              </w:rPr>
            </w:pPr>
          </w:p>
        </w:tc>
        <w:tc>
          <w:tcPr>
            <w:tcW w:w="8111" w:type="dxa"/>
            <w:tcMar/>
          </w:tcPr>
          <w:p w:rsidR="00DB2C36" w:rsidP="00DB2C36" w:rsidRDefault="00DB2C36" w14:paraId="6D996220" w14:textId="2FB3C9D7">
            <w:pPr>
              <w:rPr>
                <w:rFonts w:ascii="Orgon" w:hAnsi="Orgon"/>
              </w:rPr>
            </w:pPr>
            <w:r>
              <w:rPr>
                <w:rFonts w:ascii="Orgon" w:hAnsi="Orgon"/>
              </w:rPr>
              <w:t>Opdrachtnemer gaat akkoord met een betalingstermijn van 30 dagen na factuurdatum van een geldige/ correcte factuur</w:t>
            </w:r>
          </w:p>
        </w:tc>
      </w:tr>
      <w:tr w:rsidR="00DB2C36" w:rsidTr="41981746" w14:paraId="65708353" w14:textId="77777777">
        <w:tc>
          <w:tcPr>
            <w:tcW w:w="1101" w:type="dxa"/>
            <w:tcMar/>
          </w:tcPr>
          <w:p w:rsidRPr="00A42F1F" w:rsidR="00DB2C36" w:rsidP="00A42F1F" w:rsidRDefault="00DB2C36" w14:paraId="7C25F800" w14:textId="77777777">
            <w:pPr>
              <w:pStyle w:val="Lijstalinea"/>
              <w:numPr>
                <w:ilvl w:val="0"/>
                <w:numId w:val="1"/>
              </w:numPr>
              <w:rPr>
                <w:rFonts w:ascii="Orgon" w:hAnsi="Orgon"/>
              </w:rPr>
            </w:pPr>
          </w:p>
        </w:tc>
        <w:tc>
          <w:tcPr>
            <w:tcW w:w="8111" w:type="dxa"/>
            <w:tcMar/>
          </w:tcPr>
          <w:p w:rsidR="00DB2C36" w:rsidP="00DB2C36" w:rsidRDefault="00DB2C36" w14:paraId="57A80FBC" w14:textId="617AB7F0">
            <w:pPr>
              <w:rPr>
                <w:rFonts w:ascii="Orgon" w:hAnsi="Orgon"/>
              </w:rPr>
            </w:pPr>
            <w:r>
              <w:rPr>
                <w:rFonts w:ascii="Orgon" w:hAnsi="Orgon"/>
              </w:rPr>
              <w:t>Opdrachtnemer factureert digitaal</w:t>
            </w:r>
          </w:p>
        </w:tc>
      </w:tr>
      <w:tr w:rsidR="00DB2C36" w:rsidTr="41981746" w14:paraId="6C668CDC" w14:textId="77777777">
        <w:tc>
          <w:tcPr>
            <w:tcW w:w="1101" w:type="dxa"/>
            <w:tcMar/>
          </w:tcPr>
          <w:p w:rsidRPr="00A42F1F" w:rsidR="00DB2C36" w:rsidP="00A42F1F" w:rsidRDefault="00DB2C36" w14:paraId="286AF3CD" w14:textId="77777777">
            <w:pPr>
              <w:pStyle w:val="Lijstalinea"/>
              <w:numPr>
                <w:ilvl w:val="0"/>
                <w:numId w:val="1"/>
              </w:numPr>
              <w:rPr>
                <w:rFonts w:ascii="Orgon" w:hAnsi="Orgon"/>
              </w:rPr>
            </w:pPr>
          </w:p>
        </w:tc>
        <w:tc>
          <w:tcPr>
            <w:tcW w:w="8111" w:type="dxa"/>
            <w:tcMar/>
          </w:tcPr>
          <w:p w:rsidR="00DB2C36" w:rsidP="00DB2C36" w:rsidRDefault="00DB2C36" w14:paraId="2A17C17C" w14:textId="526C361F">
            <w:pPr>
              <w:rPr>
                <w:rFonts w:ascii="Orgon" w:hAnsi="Orgon"/>
              </w:rPr>
            </w:pPr>
            <w:r>
              <w:rPr>
                <w:rFonts w:ascii="Orgon" w:hAnsi="Orgon"/>
              </w:rPr>
              <w:t>Opdrachtnemer factureert digitaal</w:t>
            </w:r>
          </w:p>
        </w:tc>
      </w:tr>
      <w:tr w:rsidR="00DB2C36" w:rsidTr="41981746" w14:paraId="2C73418B" w14:textId="77777777">
        <w:tc>
          <w:tcPr>
            <w:tcW w:w="1101" w:type="dxa"/>
            <w:tcMar/>
          </w:tcPr>
          <w:p w:rsidR="00DB2C36" w:rsidP="00DB2C36" w:rsidRDefault="00DB2C36" w14:paraId="3536B375" w14:textId="77777777">
            <w:pPr>
              <w:rPr>
                <w:rFonts w:ascii="Orgon" w:hAnsi="Orgon"/>
              </w:rPr>
            </w:pPr>
          </w:p>
        </w:tc>
        <w:tc>
          <w:tcPr>
            <w:tcW w:w="8111" w:type="dxa"/>
            <w:tcMar/>
          </w:tcPr>
          <w:p w:rsidRPr="00DB2C36" w:rsidR="00DB2C36" w:rsidP="00DB5587" w:rsidRDefault="00DB5587" w14:paraId="0E8F59C3" w14:textId="5A95FB8C">
            <w:pPr>
              <w:pStyle w:val="Lijstalinea"/>
              <w:rPr>
                <w:rFonts w:ascii="Orgon" w:hAnsi="Orgon"/>
              </w:rPr>
            </w:pPr>
            <w:r>
              <w:rPr>
                <w:rFonts w:ascii="Orgon" w:hAnsi="Orgon"/>
              </w:rPr>
              <w:t>Maandelijks achteraf</w:t>
            </w:r>
          </w:p>
        </w:tc>
      </w:tr>
      <w:tr w:rsidR="00DB2C36" w:rsidTr="41981746" w14:paraId="3C8FBBB4" w14:textId="77777777">
        <w:tc>
          <w:tcPr>
            <w:tcW w:w="1101" w:type="dxa"/>
            <w:tcMar/>
          </w:tcPr>
          <w:p w:rsidR="00DB2C36" w:rsidP="00DB2C36" w:rsidRDefault="00DB2C36" w14:paraId="04CE4911" w14:textId="77777777">
            <w:pPr>
              <w:rPr>
                <w:rFonts w:ascii="Orgon" w:hAnsi="Orgon"/>
              </w:rPr>
            </w:pPr>
          </w:p>
        </w:tc>
        <w:tc>
          <w:tcPr>
            <w:tcW w:w="8111" w:type="dxa"/>
            <w:tcMar/>
          </w:tcPr>
          <w:p w:rsidR="00DB2C36" w:rsidP="00DB2C36" w:rsidRDefault="00DB2C36" w14:paraId="78D5C912" w14:textId="77777777">
            <w:pPr>
              <w:rPr>
                <w:rFonts w:ascii="Orgon" w:hAnsi="Orgon"/>
              </w:rPr>
            </w:pPr>
          </w:p>
        </w:tc>
      </w:tr>
      <w:tr w:rsidR="00A42F1F" w:rsidTr="41981746" w14:paraId="5D34366C" w14:textId="77777777">
        <w:tc>
          <w:tcPr>
            <w:tcW w:w="1101" w:type="dxa"/>
            <w:shd w:val="clear" w:color="auto" w:fill="D9D9D9" w:themeFill="background1" w:themeFillShade="D9"/>
            <w:tcMar/>
          </w:tcPr>
          <w:p w:rsidR="00A42F1F" w:rsidP="00DB2C36" w:rsidRDefault="00A42F1F" w14:paraId="2DC9F4AF" w14:textId="77777777">
            <w:pPr>
              <w:rPr>
                <w:rFonts w:ascii="Orgon" w:hAnsi="Orgon"/>
              </w:rPr>
            </w:pPr>
          </w:p>
        </w:tc>
        <w:tc>
          <w:tcPr>
            <w:tcW w:w="8111" w:type="dxa"/>
            <w:shd w:val="clear" w:color="auto" w:fill="D9D9D9" w:themeFill="background1" w:themeFillShade="D9"/>
            <w:tcMar/>
          </w:tcPr>
          <w:p w:rsidR="00A42F1F" w:rsidP="00DB2C36" w:rsidRDefault="00A42F1F" w14:paraId="37BCB338" w14:textId="1F9F16E5">
            <w:pPr>
              <w:rPr>
                <w:rFonts w:ascii="Orgon" w:hAnsi="Orgon"/>
              </w:rPr>
            </w:pPr>
            <w:r>
              <w:rPr>
                <w:rFonts w:ascii="Orgon" w:hAnsi="Orgon"/>
              </w:rPr>
              <w:t>Functionele eisen</w:t>
            </w:r>
          </w:p>
        </w:tc>
      </w:tr>
      <w:tr w:rsidR="00A42F1F" w:rsidTr="41981746" w14:paraId="7C284D9E" w14:textId="77777777">
        <w:tc>
          <w:tcPr>
            <w:tcW w:w="1101" w:type="dxa"/>
            <w:tcMar/>
          </w:tcPr>
          <w:p w:rsidRPr="00A42F1F" w:rsidR="00A42F1F" w:rsidP="00A42F1F" w:rsidRDefault="00A42F1F" w14:paraId="1048AE81" w14:textId="77777777">
            <w:pPr>
              <w:pStyle w:val="Lijstalinea"/>
              <w:numPr>
                <w:ilvl w:val="0"/>
                <w:numId w:val="1"/>
              </w:numPr>
              <w:rPr>
                <w:rFonts w:ascii="Orgon" w:hAnsi="Orgon"/>
              </w:rPr>
            </w:pPr>
          </w:p>
        </w:tc>
        <w:tc>
          <w:tcPr>
            <w:tcW w:w="8111" w:type="dxa"/>
            <w:tcMar/>
          </w:tcPr>
          <w:p w:rsidR="00A42F1F" w:rsidP="00DB2C36" w:rsidRDefault="00DB5587" w14:paraId="4F5B49BA" w14:textId="4DCB4B0D">
            <w:pPr>
              <w:rPr>
                <w:rFonts w:ascii="Orgon" w:hAnsi="Orgon"/>
              </w:rPr>
            </w:pPr>
            <w:r w:rsidRPr="3F931C76" w:rsidR="00DB5587">
              <w:rPr>
                <w:rFonts w:ascii="Orgon" w:hAnsi="Orgon"/>
              </w:rPr>
              <w:t xml:space="preserve">In de uitvoeringsperiode wordt van de uitvoeringsorganisatie verwacht dat deze minstens 30% </w:t>
            </w:r>
            <w:r w:rsidRPr="3F931C76" w:rsidR="127EA60F">
              <w:rPr>
                <w:rFonts w:ascii="Orgon" w:hAnsi="Orgon"/>
              </w:rPr>
              <w:t xml:space="preserve">van de buurtsportcoach en cultuurcoach uren </w:t>
            </w:r>
            <w:r w:rsidRPr="3F931C76" w:rsidR="00DB5587">
              <w:rPr>
                <w:rFonts w:ascii="Orgon" w:hAnsi="Orgon"/>
              </w:rPr>
              <w:t>aan cofinanciering genereert. Deze cofinanciering mag door middel van ureninzet worden gerealiseerd. Dit zou betekenen dat de uitvoeringsorganisatie in totaal in 2024 8,7 fte realiseert, in jaar 2025 8,7 fte en in jaar 2026 8,5 fte realiseert.</w:t>
            </w:r>
          </w:p>
        </w:tc>
      </w:tr>
      <w:tr w:rsidR="00A42F1F" w:rsidTr="41981746" w14:paraId="7D72D5EE" w14:textId="77777777">
        <w:tc>
          <w:tcPr>
            <w:tcW w:w="1101" w:type="dxa"/>
            <w:tcMar/>
          </w:tcPr>
          <w:p w:rsidR="00A42F1F" w:rsidP="00DB2C36" w:rsidRDefault="00A42F1F" w14:paraId="224C6ED3" w14:textId="77777777">
            <w:pPr>
              <w:rPr>
                <w:rFonts w:ascii="Orgon" w:hAnsi="Orgon"/>
              </w:rPr>
            </w:pPr>
          </w:p>
        </w:tc>
        <w:tc>
          <w:tcPr>
            <w:tcW w:w="8111" w:type="dxa"/>
            <w:tcMar/>
          </w:tcPr>
          <w:p w:rsidR="00A42F1F" w:rsidP="00DB2C36" w:rsidRDefault="00DB5587" w14:paraId="694454B7" w14:textId="4DBDED2C">
            <w:pPr>
              <w:rPr>
                <w:rFonts w:ascii="Orgon" w:hAnsi="Orgon"/>
              </w:rPr>
            </w:pPr>
            <w:r w:rsidRPr="00DB5587">
              <w:rPr>
                <w:rFonts w:ascii="Orgon" w:hAnsi="Orgon"/>
              </w:rPr>
              <w:t>De uitvoeringsorganisatie wordt geacht om samen te werken met andere organisaties in de gemeente Krimpenerwaard die betrokken zijn bij de uitvoering van de Brede Regeling Combinatiefuncties en het SPUK Sportakkoord.</w:t>
            </w:r>
          </w:p>
        </w:tc>
      </w:tr>
      <w:tr w:rsidR="00A42F1F" w:rsidTr="41981746" w14:paraId="1CB45CEA" w14:textId="77777777">
        <w:tc>
          <w:tcPr>
            <w:tcW w:w="1101" w:type="dxa"/>
            <w:shd w:val="clear" w:color="auto" w:fill="D9D9D9" w:themeFill="background1" w:themeFillShade="D9"/>
            <w:tcMar/>
          </w:tcPr>
          <w:p w:rsidR="00A42F1F" w:rsidP="00DB2C36" w:rsidRDefault="00A42F1F" w14:paraId="585DEC15" w14:textId="77777777">
            <w:pPr>
              <w:rPr>
                <w:rFonts w:ascii="Orgon" w:hAnsi="Orgon"/>
              </w:rPr>
            </w:pPr>
          </w:p>
        </w:tc>
        <w:tc>
          <w:tcPr>
            <w:tcW w:w="8111" w:type="dxa"/>
            <w:shd w:val="clear" w:color="auto" w:fill="D9D9D9" w:themeFill="background1" w:themeFillShade="D9"/>
            <w:tcMar/>
          </w:tcPr>
          <w:p w:rsidR="00A42F1F" w:rsidP="00DB2C36" w:rsidRDefault="00A42F1F" w14:paraId="2636BB18" w14:textId="4FF17140">
            <w:pPr>
              <w:rPr>
                <w:rFonts w:ascii="Orgon" w:hAnsi="Orgon"/>
              </w:rPr>
            </w:pPr>
            <w:r>
              <w:rPr>
                <w:rFonts w:ascii="Orgon" w:hAnsi="Orgon"/>
              </w:rPr>
              <w:t>Technische eisen</w:t>
            </w:r>
          </w:p>
        </w:tc>
      </w:tr>
      <w:tr w:rsidR="00A42F1F" w:rsidTr="41981746" w14:paraId="10900057" w14:textId="77777777">
        <w:tc>
          <w:tcPr>
            <w:tcW w:w="1101" w:type="dxa"/>
            <w:tcMar/>
          </w:tcPr>
          <w:p w:rsidRPr="00A42F1F" w:rsidR="00A42F1F" w:rsidP="00A42F1F" w:rsidRDefault="00A42F1F" w14:paraId="24F79538" w14:textId="77777777">
            <w:pPr>
              <w:pStyle w:val="Lijstalinea"/>
              <w:numPr>
                <w:ilvl w:val="0"/>
                <w:numId w:val="1"/>
              </w:numPr>
              <w:rPr>
                <w:rFonts w:ascii="Orgon" w:hAnsi="Orgon"/>
              </w:rPr>
            </w:pPr>
          </w:p>
        </w:tc>
        <w:tc>
          <w:tcPr>
            <w:tcW w:w="8111" w:type="dxa"/>
            <w:tcMar/>
          </w:tcPr>
          <w:p w:rsidR="00A42F1F" w:rsidP="00DB2C36" w:rsidRDefault="00DB5587" w14:paraId="49244C4D" w14:textId="215E4E70">
            <w:pPr>
              <w:rPr>
                <w:rFonts w:ascii="Orgon" w:hAnsi="Orgon"/>
              </w:rPr>
            </w:pPr>
            <w:r w:rsidRPr="00DB5587">
              <w:rPr>
                <w:rFonts w:ascii="Orgon" w:hAnsi="Orgon"/>
              </w:rPr>
              <w:t>De uitvoeringsorganisatie is in staat om een lokale signatuur zoveel mogelijk te waarborgen</w:t>
            </w:r>
          </w:p>
        </w:tc>
      </w:tr>
      <w:tr w:rsidR="00A42F1F" w:rsidTr="41981746" w14:paraId="6F1291FD" w14:textId="77777777">
        <w:tc>
          <w:tcPr>
            <w:tcW w:w="1101" w:type="dxa"/>
            <w:tcMar/>
          </w:tcPr>
          <w:p w:rsidR="00A42F1F" w:rsidP="00DB2C36" w:rsidRDefault="00A42F1F" w14:paraId="63CDBEB5" w14:textId="77777777">
            <w:pPr>
              <w:rPr>
                <w:rFonts w:ascii="Orgon" w:hAnsi="Orgon"/>
              </w:rPr>
            </w:pPr>
          </w:p>
        </w:tc>
        <w:tc>
          <w:tcPr>
            <w:tcW w:w="8111" w:type="dxa"/>
            <w:tcMar/>
          </w:tcPr>
          <w:p w:rsidR="00A42F1F" w:rsidP="00DB2C36" w:rsidRDefault="00DB5587" w14:paraId="671A17DE" w14:textId="3AEB3870">
            <w:pPr>
              <w:rPr>
                <w:rFonts w:ascii="Orgon" w:hAnsi="Orgon"/>
              </w:rPr>
            </w:pPr>
            <w:r w:rsidRPr="00DB5587">
              <w:rPr>
                <w:rFonts w:ascii="Orgon" w:hAnsi="Orgon"/>
              </w:rPr>
              <w:t>De uitvoeringsorganisatie is actief in de sportsector en heeft affiniteit met aangrenzende sectoren als gezondheid en cultuur.</w:t>
            </w:r>
          </w:p>
        </w:tc>
      </w:tr>
      <w:tr w:rsidR="00DB5587" w:rsidTr="41981746" w14:paraId="0D4DBE2E" w14:textId="77777777">
        <w:tc>
          <w:tcPr>
            <w:tcW w:w="1101" w:type="dxa"/>
            <w:tcMar/>
          </w:tcPr>
          <w:p w:rsidR="00DB5587" w:rsidP="00DB2C36" w:rsidRDefault="00DB5587" w14:paraId="38539705" w14:textId="77777777">
            <w:pPr>
              <w:rPr>
                <w:rFonts w:ascii="Orgon" w:hAnsi="Orgon"/>
              </w:rPr>
            </w:pPr>
          </w:p>
        </w:tc>
        <w:tc>
          <w:tcPr>
            <w:tcW w:w="8111" w:type="dxa"/>
            <w:tcMar/>
          </w:tcPr>
          <w:p w:rsidRPr="00DB5587" w:rsidR="00DB5587" w:rsidP="00DB2C36" w:rsidRDefault="00DB5587" w14:paraId="79D57746" w14:textId="1B33A5D1">
            <w:pPr>
              <w:rPr>
                <w:rFonts w:ascii="Orgon" w:hAnsi="Orgon"/>
              </w:rPr>
            </w:pPr>
            <w:r w:rsidRPr="00DB5587">
              <w:rPr>
                <w:rFonts w:ascii="Orgon" w:hAnsi="Orgon"/>
              </w:rPr>
              <w:t>De uitvoeringsorganisatie staat open voor gezamenlijke doorontwikkeling (co-creatie) van de Brede Regeling Combinatiefuncties en het SPUK Sportakkoord met de gemeente.</w:t>
            </w:r>
          </w:p>
        </w:tc>
      </w:tr>
      <w:tr w:rsidR="00A42F1F" w:rsidTr="41981746" w14:paraId="28066D6C" w14:textId="77777777">
        <w:tc>
          <w:tcPr>
            <w:tcW w:w="1101" w:type="dxa"/>
            <w:shd w:val="clear" w:color="auto" w:fill="D9D9D9" w:themeFill="background1" w:themeFillShade="D9"/>
            <w:tcMar/>
          </w:tcPr>
          <w:p w:rsidR="00A42F1F" w:rsidP="00DB2C36" w:rsidRDefault="00A42F1F" w14:paraId="58AF9D6A" w14:textId="77777777">
            <w:pPr>
              <w:rPr>
                <w:rFonts w:ascii="Orgon" w:hAnsi="Orgon"/>
              </w:rPr>
            </w:pPr>
          </w:p>
        </w:tc>
        <w:tc>
          <w:tcPr>
            <w:tcW w:w="8111" w:type="dxa"/>
            <w:shd w:val="clear" w:color="auto" w:fill="D9D9D9" w:themeFill="background1" w:themeFillShade="D9"/>
            <w:tcMar/>
          </w:tcPr>
          <w:p w:rsidR="00A42F1F" w:rsidP="00DB2C36" w:rsidRDefault="00A42F1F" w14:paraId="6436DE99" w14:textId="200EB7F4">
            <w:pPr>
              <w:rPr>
                <w:rFonts w:ascii="Orgon" w:hAnsi="Orgon"/>
              </w:rPr>
            </w:pPr>
            <w:r>
              <w:rPr>
                <w:rFonts w:ascii="Orgon" w:hAnsi="Orgon"/>
              </w:rPr>
              <w:t>Logistieke eisen</w:t>
            </w:r>
          </w:p>
        </w:tc>
      </w:tr>
      <w:tr w:rsidR="00A42F1F" w:rsidTr="41981746" w14:paraId="14117667" w14:textId="77777777">
        <w:tc>
          <w:tcPr>
            <w:tcW w:w="1101" w:type="dxa"/>
            <w:tcMar/>
          </w:tcPr>
          <w:p w:rsidRPr="00A42F1F" w:rsidR="00A42F1F" w:rsidP="00A42F1F" w:rsidRDefault="00A42F1F" w14:paraId="4F587C31" w14:textId="77777777">
            <w:pPr>
              <w:pStyle w:val="Lijstalinea"/>
              <w:numPr>
                <w:ilvl w:val="0"/>
                <w:numId w:val="1"/>
              </w:numPr>
              <w:rPr>
                <w:rFonts w:ascii="Orgon" w:hAnsi="Orgon"/>
              </w:rPr>
            </w:pPr>
          </w:p>
        </w:tc>
        <w:tc>
          <w:tcPr>
            <w:tcW w:w="8111" w:type="dxa"/>
            <w:tcMar/>
          </w:tcPr>
          <w:p w:rsidR="00A42F1F" w:rsidP="00DB2C36" w:rsidRDefault="00DB5587" w14:paraId="10A138EC" w14:textId="58CE8C89">
            <w:pPr>
              <w:rPr>
                <w:rFonts w:ascii="Orgon" w:hAnsi="Orgon"/>
              </w:rPr>
            </w:pPr>
            <w:r w:rsidRPr="00DB5587">
              <w:rPr>
                <w:rFonts w:ascii="Orgon" w:hAnsi="Orgon"/>
              </w:rPr>
              <w:t>De uitvoering van de Brede Regeling Combinatiefuncties en SPUK Sportakkoord wordt zoveel mogelijk belegd bij één uitvoeringsorganisatie.</w:t>
            </w:r>
          </w:p>
        </w:tc>
      </w:tr>
      <w:tr w:rsidR="00A42F1F" w:rsidTr="41981746" w14:paraId="344FD601" w14:textId="77777777">
        <w:tc>
          <w:tcPr>
            <w:tcW w:w="1101" w:type="dxa"/>
            <w:tcMar/>
          </w:tcPr>
          <w:p w:rsidR="00A42F1F" w:rsidP="00DB2C36" w:rsidRDefault="00A42F1F" w14:paraId="7D6E6A91" w14:textId="77777777">
            <w:pPr>
              <w:rPr>
                <w:rFonts w:ascii="Orgon" w:hAnsi="Orgon"/>
              </w:rPr>
            </w:pPr>
          </w:p>
        </w:tc>
        <w:tc>
          <w:tcPr>
            <w:tcW w:w="8111" w:type="dxa"/>
            <w:tcMar/>
          </w:tcPr>
          <w:p w:rsidR="00A42F1F" w:rsidP="00DB2C36" w:rsidRDefault="00A42F1F" w14:paraId="0FFB3C95" w14:textId="7D6B6CCD">
            <w:pPr>
              <w:rPr>
                <w:rFonts w:ascii="Orgon" w:hAnsi="Orgon"/>
              </w:rPr>
            </w:pPr>
          </w:p>
        </w:tc>
      </w:tr>
      <w:tr w:rsidR="00A42F1F" w:rsidTr="41981746" w14:paraId="3892E383" w14:textId="77777777">
        <w:tc>
          <w:tcPr>
            <w:tcW w:w="1101" w:type="dxa"/>
            <w:shd w:val="clear" w:color="auto" w:fill="D9D9D9" w:themeFill="background1" w:themeFillShade="D9"/>
            <w:tcMar/>
          </w:tcPr>
          <w:p w:rsidR="00A42F1F" w:rsidP="00DB2C36" w:rsidRDefault="00A42F1F" w14:paraId="3738B7B8" w14:textId="77777777">
            <w:pPr>
              <w:rPr>
                <w:rFonts w:ascii="Orgon" w:hAnsi="Orgon"/>
              </w:rPr>
            </w:pPr>
          </w:p>
        </w:tc>
        <w:tc>
          <w:tcPr>
            <w:tcW w:w="8111" w:type="dxa"/>
            <w:shd w:val="clear" w:color="auto" w:fill="D9D9D9" w:themeFill="background1" w:themeFillShade="D9"/>
            <w:tcMar/>
          </w:tcPr>
          <w:p w:rsidR="00A42F1F" w:rsidP="00DB2C36" w:rsidRDefault="00A42F1F" w14:paraId="15ECCD76" w14:textId="6CA3CE6A">
            <w:pPr>
              <w:rPr>
                <w:rFonts w:ascii="Orgon" w:hAnsi="Orgon"/>
              </w:rPr>
            </w:pPr>
            <w:r>
              <w:rPr>
                <w:rFonts w:ascii="Orgon" w:hAnsi="Orgon"/>
              </w:rPr>
              <w:t>Personele eisen</w:t>
            </w:r>
          </w:p>
        </w:tc>
      </w:tr>
      <w:tr w:rsidR="00A42F1F" w:rsidTr="41981746" w14:paraId="78FC9BD1" w14:textId="77777777">
        <w:tc>
          <w:tcPr>
            <w:tcW w:w="1101" w:type="dxa"/>
            <w:tcMar/>
          </w:tcPr>
          <w:p w:rsidRPr="00A42F1F" w:rsidR="00A42F1F" w:rsidP="00A42F1F" w:rsidRDefault="00A42F1F" w14:paraId="47AD560A" w14:textId="77777777">
            <w:pPr>
              <w:pStyle w:val="Lijstalinea"/>
              <w:numPr>
                <w:ilvl w:val="0"/>
                <w:numId w:val="1"/>
              </w:numPr>
              <w:rPr>
                <w:rFonts w:ascii="Orgon" w:hAnsi="Orgon"/>
              </w:rPr>
            </w:pPr>
          </w:p>
        </w:tc>
        <w:tc>
          <w:tcPr>
            <w:tcW w:w="8111" w:type="dxa"/>
            <w:tcMar/>
          </w:tcPr>
          <w:p w:rsidR="00A42F1F" w:rsidP="00DB2C36" w:rsidRDefault="00DB5587" w14:paraId="5FCA8FD4" w14:textId="7426CFC7">
            <w:pPr>
              <w:rPr>
                <w:rFonts w:ascii="Orgon" w:hAnsi="Orgon"/>
              </w:rPr>
            </w:pPr>
            <w:r w:rsidRPr="41981746" w:rsidR="00DB5587">
              <w:rPr>
                <w:rFonts w:ascii="Orgon" w:hAnsi="Orgon"/>
              </w:rPr>
              <w:t>In 2024 is in totaal €230.790,- incl. BTW beschikbaar, waarmee de uitvoeringsorganisatie geacht wordt minimaal 5,2 fte aan combinatiefuncties en 0,9 fte JOGG-regisseur Plus gedurende een half jaar te realiseren. Van deze €2</w:t>
            </w:r>
            <w:r w:rsidRPr="41981746" w:rsidR="48C3F219">
              <w:rPr>
                <w:rFonts w:ascii="Orgon" w:hAnsi="Orgon"/>
              </w:rPr>
              <w:t>30</w:t>
            </w:r>
            <w:r w:rsidRPr="41981746" w:rsidR="00DB5587">
              <w:rPr>
                <w:rFonts w:ascii="Orgon" w:hAnsi="Orgon"/>
              </w:rPr>
              <w:t>.</w:t>
            </w:r>
            <w:r w:rsidRPr="41981746" w:rsidR="042C83F9">
              <w:rPr>
                <w:rFonts w:ascii="Orgon" w:hAnsi="Orgon"/>
              </w:rPr>
              <w:t>790</w:t>
            </w:r>
            <w:r w:rsidRPr="41981746" w:rsidR="00DB5587">
              <w:rPr>
                <w:rFonts w:ascii="Orgon" w:hAnsi="Orgon"/>
              </w:rPr>
              <w:t>,- is €7.500,- bestemd als activiteitenbudget. In 2025 is €503.586,- incl. BTW beschikbaar, waarmee de uitvoeringsorganisatie geacht wordt minimaal 5,2 fte aan combinatiefuncties en 0,9 fte JOGG-regisseur Plus gedurende het hele jaar te realiseren. Van deze €503.586,- is €15.000,- bestemd als activiteitenbudget en €42.000,- als stimuleringsbudget Sportakkoord. In 2026 is €481.630,- incl. BTW beschikbaar, waarmee de uitvoeringsorganisatie geacht wordt minimaal 5,1 fte aan combinatiefuncties en 0,9 fte JOGG-regisseur Plus gedurende het hele jaar te realiseren. Van deze €481.630,- is €15.000,- bestemd als activiteitenbudget en €30.000,- als stimuleringsbudget Sportakkoord.</w:t>
            </w:r>
          </w:p>
        </w:tc>
      </w:tr>
      <w:tr w:rsidR="00A42F1F" w:rsidTr="41981746" w14:paraId="75EE15E0" w14:textId="77777777">
        <w:tc>
          <w:tcPr>
            <w:tcW w:w="1101" w:type="dxa"/>
            <w:tcMar/>
          </w:tcPr>
          <w:p w:rsidR="00A42F1F" w:rsidP="00DB2C36" w:rsidRDefault="00A42F1F" w14:paraId="7AD01F12" w14:textId="77777777">
            <w:pPr>
              <w:rPr>
                <w:rFonts w:ascii="Orgon" w:hAnsi="Orgon"/>
              </w:rPr>
            </w:pPr>
          </w:p>
        </w:tc>
        <w:tc>
          <w:tcPr>
            <w:tcW w:w="8111" w:type="dxa"/>
            <w:tcMar/>
          </w:tcPr>
          <w:p w:rsidR="00A42F1F" w:rsidP="00DB2C36" w:rsidRDefault="00A42F1F" w14:paraId="1D44DD64" w14:textId="77777777">
            <w:pPr>
              <w:rPr>
                <w:rFonts w:ascii="Orgon" w:hAnsi="Orgon"/>
              </w:rPr>
            </w:pPr>
          </w:p>
        </w:tc>
      </w:tr>
      <w:tr w:rsidR="00A42F1F" w:rsidTr="41981746" w14:paraId="351B17D0" w14:textId="77777777">
        <w:tc>
          <w:tcPr>
            <w:tcW w:w="1101" w:type="dxa"/>
            <w:shd w:val="clear" w:color="auto" w:fill="D9D9D9" w:themeFill="background1" w:themeFillShade="D9"/>
            <w:tcMar/>
          </w:tcPr>
          <w:p w:rsidR="00A42F1F" w:rsidP="00DB2C36" w:rsidRDefault="00A42F1F" w14:paraId="35BF0E8D" w14:textId="77777777">
            <w:pPr>
              <w:rPr>
                <w:rFonts w:ascii="Orgon" w:hAnsi="Orgon"/>
              </w:rPr>
            </w:pPr>
          </w:p>
        </w:tc>
        <w:tc>
          <w:tcPr>
            <w:tcW w:w="8111" w:type="dxa"/>
            <w:shd w:val="clear" w:color="auto" w:fill="D9D9D9" w:themeFill="background1" w:themeFillShade="D9"/>
            <w:tcMar/>
          </w:tcPr>
          <w:p w:rsidR="00A42F1F" w:rsidP="00DB2C36" w:rsidRDefault="00A42F1F" w14:paraId="7D9E1867" w14:textId="6F5C9E15">
            <w:pPr>
              <w:rPr>
                <w:rFonts w:ascii="Orgon" w:hAnsi="Orgon"/>
              </w:rPr>
            </w:pPr>
            <w:r>
              <w:rPr>
                <w:rFonts w:ascii="Orgon" w:hAnsi="Orgon"/>
              </w:rPr>
              <w:t>Duurzaamheid</w:t>
            </w:r>
          </w:p>
        </w:tc>
      </w:tr>
      <w:tr w:rsidR="00A42F1F" w:rsidTr="41981746" w14:paraId="7AAFD3A7" w14:textId="77777777">
        <w:tc>
          <w:tcPr>
            <w:tcW w:w="1101" w:type="dxa"/>
            <w:tcMar/>
          </w:tcPr>
          <w:p w:rsidRPr="00A42F1F" w:rsidR="00A42F1F" w:rsidP="00A42F1F" w:rsidRDefault="00A42F1F" w14:paraId="626E4278" w14:textId="77777777">
            <w:pPr>
              <w:pStyle w:val="Lijstalinea"/>
              <w:numPr>
                <w:ilvl w:val="0"/>
                <w:numId w:val="1"/>
              </w:numPr>
              <w:rPr>
                <w:rFonts w:ascii="Orgon" w:hAnsi="Orgon"/>
              </w:rPr>
            </w:pPr>
          </w:p>
        </w:tc>
        <w:tc>
          <w:tcPr>
            <w:tcW w:w="8111" w:type="dxa"/>
            <w:tcMar/>
          </w:tcPr>
          <w:p w:rsidR="00A42F1F" w:rsidP="3F931C76" w:rsidRDefault="005569BB" w14:paraId="7328CDCF" w14:textId="2EA3F0BB">
            <w:pPr>
              <w:rPr>
                <w:rFonts w:ascii="Orgon" w:hAnsi="Orgon"/>
              </w:rPr>
            </w:pPr>
            <w:r w:rsidRPr="3F931C76" w:rsidR="025F6EBC">
              <w:rPr>
                <w:rFonts w:ascii="Orgon" w:hAnsi="Orgon"/>
              </w:rPr>
              <w:t xml:space="preserve">In het kader van maatschappelijk verantwoord ondernemen (MVO) hecht de gemeente Krimpenerwaard er waarde aan, dat er kansen geboden worden aan Social Return-medewerkers. </w:t>
            </w:r>
          </w:p>
          <w:p w:rsidR="00A42F1F" w:rsidP="3F931C76" w:rsidRDefault="005569BB" w14:paraId="2FB23514" w14:textId="2E42BE39">
            <w:pPr>
              <w:pStyle w:val="Standaard"/>
            </w:pPr>
            <w:r w:rsidRPr="3F931C76" w:rsidR="025F6EBC">
              <w:rPr>
                <w:rFonts w:ascii="Orgon" w:hAnsi="Orgon"/>
              </w:rPr>
              <w:t xml:space="preserve"> </w:t>
            </w:r>
          </w:p>
          <w:p w:rsidR="00A42F1F" w:rsidP="3F931C76" w:rsidRDefault="005569BB" w14:paraId="3AF8ED2E" w14:textId="3EE19E64">
            <w:pPr>
              <w:pStyle w:val="Standaard"/>
            </w:pPr>
            <w:r w:rsidRPr="3F931C76" w:rsidR="025F6EBC">
              <w:rPr>
                <w:rFonts w:ascii="Orgon" w:hAnsi="Orgon"/>
              </w:rPr>
              <w:t xml:space="preserve">Met betrekking tot de uitvoering van het contract geldt dan ook, dat u een inspanningsverplichting heeft </w:t>
            </w:r>
            <w:r w:rsidRPr="3F931C76" w:rsidR="025F6EBC">
              <w:rPr>
                <w:rFonts w:ascii="Orgon" w:hAnsi="Orgon"/>
              </w:rPr>
              <w:t>Social</w:t>
            </w:r>
            <w:r w:rsidRPr="3F931C76" w:rsidR="025F6EBC">
              <w:rPr>
                <w:rFonts w:ascii="Orgon" w:hAnsi="Orgon"/>
              </w:rPr>
              <w:t xml:space="preserve"> Return toe te passen en hiervoor minstens de gesprekcyclus met </w:t>
            </w:r>
            <w:r w:rsidRPr="3F931C76" w:rsidR="025F6EBC">
              <w:rPr>
                <w:rFonts w:ascii="Orgon" w:hAnsi="Orgon"/>
              </w:rPr>
              <w:t>Social</w:t>
            </w:r>
            <w:r w:rsidRPr="3F931C76" w:rsidR="025F6EBC">
              <w:rPr>
                <w:rFonts w:ascii="Orgon" w:hAnsi="Orgon"/>
              </w:rPr>
              <w:t xml:space="preserve"> Return-loket aan te gaan.</w:t>
            </w:r>
          </w:p>
        </w:tc>
      </w:tr>
      <w:tr w:rsidR="00A42F1F" w:rsidTr="41981746" w14:paraId="015BC726" w14:textId="77777777">
        <w:tc>
          <w:tcPr>
            <w:tcW w:w="1101" w:type="dxa"/>
            <w:tcMar/>
          </w:tcPr>
          <w:p w:rsidR="00A42F1F" w:rsidP="00DB2C36" w:rsidRDefault="00A42F1F" w14:paraId="7B2EA6E5" w14:textId="77777777">
            <w:pPr>
              <w:rPr>
                <w:rFonts w:ascii="Orgon" w:hAnsi="Orgon"/>
              </w:rPr>
            </w:pPr>
          </w:p>
        </w:tc>
        <w:tc>
          <w:tcPr>
            <w:tcW w:w="8111" w:type="dxa"/>
            <w:tcMar/>
          </w:tcPr>
          <w:p w:rsidR="00A42F1F" w:rsidP="00DB2C36" w:rsidRDefault="00A42F1F" w14:paraId="47C59116" w14:textId="77777777">
            <w:pPr>
              <w:rPr>
                <w:rFonts w:ascii="Orgon" w:hAnsi="Orgon"/>
              </w:rPr>
            </w:pPr>
          </w:p>
        </w:tc>
      </w:tr>
      <w:tr w:rsidR="00A42F1F" w:rsidTr="41981746" w14:paraId="4CCAB934" w14:textId="77777777">
        <w:tc>
          <w:tcPr>
            <w:tcW w:w="1101" w:type="dxa"/>
            <w:shd w:val="clear" w:color="auto" w:fill="D9D9D9" w:themeFill="background1" w:themeFillShade="D9"/>
            <w:tcMar/>
          </w:tcPr>
          <w:p w:rsidR="00A42F1F" w:rsidP="00DB2C36" w:rsidRDefault="00A42F1F" w14:paraId="50B0D0D9" w14:textId="77777777">
            <w:pPr>
              <w:rPr>
                <w:rFonts w:ascii="Orgon" w:hAnsi="Orgon"/>
              </w:rPr>
            </w:pPr>
          </w:p>
        </w:tc>
        <w:tc>
          <w:tcPr>
            <w:tcW w:w="8111" w:type="dxa"/>
            <w:shd w:val="clear" w:color="auto" w:fill="D9D9D9" w:themeFill="background1" w:themeFillShade="D9"/>
            <w:tcMar/>
          </w:tcPr>
          <w:p w:rsidR="00A42F1F" w:rsidP="00DB2C36" w:rsidRDefault="00A42F1F" w14:paraId="2A48FAD0" w14:textId="71EFE424">
            <w:pPr>
              <w:rPr>
                <w:rFonts w:ascii="Orgon" w:hAnsi="Orgon"/>
              </w:rPr>
            </w:pPr>
            <w:r>
              <w:rPr>
                <w:rFonts w:ascii="Orgon" w:hAnsi="Orgon"/>
              </w:rPr>
              <w:t>Juridische eisen</w:t>
            </w:r>
          </w:p>
        </w:tc>
      </w:tr>
      <w:tr w:rsidR="00A42F1F" w:rsidTr="41981746" w14:paraId="6B08C40B" w14:textId="77777777">
        <w:tc>
          <w:tcPr>
            <w:tcW w:w="1101" w:type="dxa"/>
            <w:tcMar/>
          </w:tcPr>
          <w:p w:rsidRPr="00A42F1F" w:rsidR="00A42F1F" w:rsidP="00A42F1F" w:rsidRDefault="00A42F1F" w14:paraId="1065D175" w14:textId="77777777">
            <w:pPr>
              <w:pStyle w:val="Lijstalinea"/>
              <w:numPr>
                <w:ilvl w:val="0"/>
                <w:numId w:val="1"/>
              </w:numPr>
              <w:rPr>
                <w:rFonts w:ascii="Orgon" w:hAnsi="Orgon"/>
              </w:rPr>
            </w:pPr>
          </w:p>
        </w:tc>
        <w:tc>
          <w:tcPr>
            <w:tcW w:w="8111" w:type="dxa"/>
            <w:tcMar/>
          </w:tcPr>
          <w:p w:rsidR="00A42F1F" w:rsidP="00DB2C36" w:rsidRDefault="00DB5587" w14:paraId="2D212157" w14:textId="164B7FBA">
            <w:pPr>
              <w:rPr>
                <w:rFonts w:ascii="Orgon" w:hAnsi="Orgon"/>
              </w:rPr>
            </w:pPr>
            <w:r w:rsidRPr="00DB5587">
              <w:rPr>
                <w:rFonts w:ascii="Orgon" w:hAnsi="Orgon"/>
              </w:rPr>
              <w:t>Overschrijding van het beschikbaar gestelde budget komt volledig voor risico en rekening van de uitvoeringsorganisatie.</w:t>
            </w:r>
          </w:p>
        </w:tc>
      </w:tr>
      <w:tr w:rsidR="00A42F1F" w:rsidTr="41981746" w14:paraId="0E124548" w14:textId="77777777">
        <w:tc>
          <w:tcPr>
            <w:tcW w:w="1101" w:type="dxa"/>
            <w:tcMar/>
          </w:tcPr>
          <w:p w:rsidR="00A42F1F" w:rsidP="00DB2C36" w:rsidRDefault="00A42F1F" w14:paraId="072DFC5F" w14:textId="77777777">
            <w:pPr>
              <w:rPr>
                <w:rFonts w:ascii="Orgon" w:hAnsi="Orgon"/>
              </w:rPr>
            </w:pPr>
          </w:p>
        </w:tc>
        <w:tc>
          <w:tcPr>
            <w:tcW w:w="8111" w:type="dxa"/>
            <w:tcMar/>
          </w:tcPr>
          <w:p w:rsidR="00A42F1F" w:rsidP="00DB2C36" w:rsidRDefault="00DB5587" w14:paraId="0A377F10" w14:textId="1CADC397">
            <w:pPr>
              <w:rPr>
                <w:rFonts w:ascii="Orgon" w:hAnsi="Orgon"/>
              </w:rPr>
            </w:pPr>
            <w:r w:rsidRPr="00DB5587">
              <w:rPr>
                <w:rFonts w:ascii="Orgon" w:hAnsi="Orgon"/>
              </w:rPr>
              <w:t>De afspraken met de uitvoeringsorganisatie worden vastgelegd in een uitvoeringsovereenkomst met een looptijd van 1 juli 2024 t/m 31 december 2026.</w:t>
            </w:r>
          </w:p>
        </w:tc>
      </w:tr>
      <w:tr w:rsidR="00A42F1F" w:rsidTr="41981746" w14:paraId="58F7D779" w14:textId="77777777">
        <w:tc>
          <w:tcPr>
            <w:tcW w:w="1101" w:type="dxa"/>
            <w:tcMar/>
          </w:tcPr>
          <w:p w:rsidR="00A42F1F" w:rsidP="00DB2C36" w:rsidRDefault="00A42F1F" w14:paraId="0A26C99A" w14:textId="77777777">
            <w:pPr>
              <w:rPr>
                <w:rFonts w:ascii="Orgon" w:hAnsi="Orgon"/>
              </w:rPr>
            </w:pPr>
          </w:p>
        </w:tc>
        <w:tc>
          <w:tcPr>
            <w:tcW w:w="8111" w:type="dxa"/>
            <w:tcMar/>
          </w:tcPr>
          <w:p w:rsidR="00A42F1F" w:rsidP="00DB2C36" w:rsidRDefault="00DB5587" w14:paraId="0D10CF92" w14:textId="4F1F9DF0">
            <w:pPr>
              <w:rPr>
                <w:rFonts w:ascii="Orgon" w:hAnsi="Orgon"/>
              </w:rPr>
            </w:pPr>
            <w:r w:rsidRPr="00DB5587">
              <w:rPr>
                <w:rFonts w:ascii="Orgon" w:hAnsi="Orgon"/>
              </w:rPr>
              <w:t>De jaarlijkse financiering is onder voorbehoud van de beschikbaarheid van budgetten vanuit zowel het Rijk als de gemeente</w:t>
            </w:r>
          </w:p>
        </w:tc>
      </w:tr>
      <w:tr w:rsidR="00A42F1F" w:rsidTr="41981746" w14:paraId="053E7C9C" w14:textId="77777777">
        <w:tc>
          <w:tcPr>
            <w:tcW w:w="1101" w:type="dxa"/>
            <w:shd w:val="clear" w:color="auto" w:fill="D9D9D9" w:themeFill="background1" w:themeFillShade="D9"/>
            <w:tcMar/>
          </w:tcPr>
          <w:p w:rsidR="00A42F1F" w:rsidP="00DB2C36" w:rsidRDefault="00A42F1F" w14:paraId="608B9B4A" w14:textId="77777777">
            <w:pPr>
              <w:rPr>
                <w:rFonts w:ascii="Orgon" w:hAnsi="Orgon"/>
              </w:rPr>
            </w:pPr>
          </w:p>
        </w:tc>
        <w:tc>
          <w:tcPr>
            <w:tcW w:w="8111" w:type="dxa"/>
            <w:shd w:val="clear" w:color="auto" w:fill="D9D9D9" w:themeFill="background1" w:themeFillShade="D9"/>
            <w:tcMar/>
          </w:tcPr>
          <w:p w:rsidR="00A42F1F" w:rsidP="00DB2C36" w:rsidRDefault="00A42F1F" w14:paraId="66D14484" w14:textId="7F4259AF">
            <w:pPr>
              <w:rPr>
                <w:rFonts w:ascii="Orgon" w:hAnsi="Orgon"/>
              </w:rPr>
            </w:pPr>
            <w:r>
              <w:rPr>
                <w:rFonts w:ascii="Orgon" w:hAnsi="Orgon"/>
              </w:rPr>
              <w:t>Gegevens Inschrijver</w:t>
            </w:r>
          </w:p>
        </w:tc>
      </w:tr>
      <w:tr w:rsidR="00A42F1F" w:rsidTr="41981746" w14:paraId="2F6A02D8" w14:textId="77777777">
        <w:tc>
          <w:tcPr>
            <w:tcW w:w="1101" w:type="dxa"/>
            <w:tcMar/>
          </w:tcPr>
          <w:p w:rsidR="00A42F1F" w:rsidP="00DB2C36" w:rsidRDefault="00A42F1F" w14:paraId="3D40B5AF" w14:textId="77777777">
            <w:pPr>
              <w:rPr>
                <w:rFonts w:ascii="Orgon" w:hAnsi="Orgon"/>
              </w:rPr>
            </w:pPr>
          </w:p>
        </w:tc>
        <w:tc>
          <w:tcPr>
            <w:tcW w:w="8111" w:type="dxa"/>
            <w:tcMar/>
          </w:tcPr>
          <w:p w:rsidR="00A42F1F" w:rsidP="00DB2C36" w:rsidRDefault="00A42F1F" w14:paraId="7686E0C6" w14:textId="77777777">
            <w:pPr>
              <w:rPr>
                <w:rFonts w:ascii="Orgon" w:hAnsi="Orgon"/>
              </w:rPr>
            </w:pPr>
          </w:p>
        </w:tc>
      </w:tr>
      <w:tr w:rsidR="00A42F1F" w:rsidTr="41981746" w14:paraId="0C5DA18B" w14:textId="77777777">
        <w:tc>
          <w:tcPr>
            <w:tcW w:w="1101" w:type="dxa"/>
            <w:tcMar/>
          </w:tcPr>
          <w:p w:rsidR="00A42F1F" w:rsidP="00DB2C36" w:rsidRDefault="00A42F1F" w14:paraId="3B37A39D" w14:textId="77777777">
            <w:pPr>
              <w:rPr>
                <w:rFonts w:ascii="Orgon" w:hAnsi="Orgon"/>
              </w:rPr>
            </w:pPr>
          </w:p>
        </w:tc>
        <w:tc>
          <w:tcPr>
            <w:tcW w:w="8111" w:type="dxa"/>
            <w:tcMar/>
          </w:tcPr>
          <w:p w:rsidR="00A42F1F" w:rsidP="00DB2C36" w:rsidRDefault="00A42F1F" w14:paraId="608C95D9" w14:textId="40D5695B">
            <w:pPr>
              <w:rPr>
                <w:rFonts w:ascii="Orgon" w:hAnsi="Orgon"/>
              </w:rPr>
            </w:pPr>
            <w:r>
              <w:rPr>
                <w:rFonts w:ascii="Orgon" w:hAnsi="Orgon"/>
              </w:rPr>
              <w:t>Naam en functie rechtsgeldige vertegenwoordiger</w:t>
            </w:r>
          </w:p>
        </w:tc>
      </w:tr>
      <w:tr w:rsidR="00A42F1F" w:rsidTr="41981746" w14:paraId="107D44CA" w14:textId="77777777">
        <w:tc>
          <w:tcPr>
            <w:tcW w:w="1101" w:type="dxa"/>
            <w:tcMar/>
          </w:tcPr>
          <w:p w:rsidR="00A42F1F" w:rsidP="00DB2C36" w:rsidRDefault="00A42F1F" w14:paraId="06011AD7" w14:textId="77777777">
            <w:pPr>
              <w:rPr>
                <w:rFonts w:ascii="Orgon" w:hAnsi="Orgon"/>
              </w:rPr>
            </w:pPr>
          </w:p>
        </w:tc>
        <w:tc>
          <w:tcPr>
            <w:tcW w:w="8111" w:type="dxa"/>
            <w:tcMar/>
          </w:tcPr>
          <w:p w:rsidR="00A42F1F" w:rsidP="00DB2C36" w:rsidRDefault="00A42F1F" w14:paraId="736F50D7" w14:textId="77777777">
            <w:pPr>
              <w:rPr>
                <w:rFonts w:ascii="Orgon" w:hAnsi="Orgon"/>
              </w:rPr>
            </w:pPr>
          </w:p>
        </w:tc>
      </w:tr>
      <w:tr w:rsidR="00A42F1F" w:rsidTr="41981746" w14:paraId="79641207" w14:textId="77777777">
        <w:tc>
          <w:tcPr>
            <w:tcW w:w="1101" w:type="dxa"/>
            <w:tcMar/>
          </w:tcPr>
          <w:p w:rsidR="00A42F1F" w:rsidP="00DB2C36" w:rsidRDefault="00A42F1F" w14:paraId="4309E230" w14:textId="77777777">
            <w:pPr>
              <w:rPr>
                <w:rFonts w:ascii="Orgon" w:hAnsi="Orgon"/>
              </w:rPr>
            </w:pPr>
          </w:p>
        </w:tc>
        <w:tc>
          <w:tcPr>
            <w:tcW w:w="8111" w:type="dxa"/>
            <w:tcMar/>
          </w:tcPr>
          <w:p w:rsidR="00A42F1F" w:rsidP="00DB2C36" w:rsidRDefault="00A42F1F" w14:paraId="6D37311D" w14:textId="77777777">
            <w:pPr>
              <w:rPr>
                <w:rFonts w:ascii="Orgon" w:hAnsi="Orgon"/>
              </w:rPr>
            </w:pPr>
          </w:p>
        </w:tc>
      </w:tr>
      <w:tr w:rsidR="00A42F1F" w:rsidTr="41981746" w14:paraId="063C8F3B" w14:textId="77777777">
        <w:tc>
          <w:tcPr>
            <w:tcW w:w="1101" w:type="dxa"/>
            <w:tcMar/>
          </w:tcPr>
          <w:p w:rsidR="00A42F1F" w:rsidP="00DB2C36" w:rsidRDefault="00A42F1F" w14:paraId="3A6985BB" w14:textId="77777777">
            <w:pPr>
              <w:rPr>
                <w:rFonts w:ascii="Orgon" w:hAnsi="Orgon"/>
              </w:rPr>
            </w:pPr>
          </w:p>
        </w:tc>
        <w:tc>
          <w:tcPr>
            <w:tcW w:w="8111" w:type="dxa"/>
            <w:tcMar/>
          </w:tcPr>
          <w:p w:rsidR="00A42F1F" w:rsidP="00DB2C36" w:rsidRDefault="00A42F1F" w14:paraId="7D3C1D4A" w14:textId="77777777">
            <w:pPr>
              <w:rPr>
                <w:rFonts w:ascii="Orgon" w:hAnsi="Orgon"/>
              </w:rPr>
            </w:pPr>
          </w:p>
        </w:tc>
      </w:tr>
      <w:tr w:rsidR="00A42F1F" w:rsidTr="41981746" w14:paraId="6E403D1D" w14:textId="77777777">
        <w:tc>
          <w:tcPr>
            <w:tcW w:w="1101" w:type="dxa"/>
            <w:tcMar/>
          </w:tcPr>
          <w:p w:rsidR="00A42F1F" w:rsidP="00DB2C36" w:rsidRDefault="00A42F1F" w14:paraId="7091381F" w14:textId="77777777">
            <w:pPr>
              <w:rPr>
                <w:rFonts w:ascii="Orgon" w:hAnsi="Orgon"/>
              </w:rPr>
            </w:pPr>
          </w:p>
        </w:tc>
        <w:tc>
          <w:tcPr>
            <w:tcW w:w="8111" w:type="dxa"/>
            <w:tcMar/>
          </w:tcPr>
          <w:p w:rsidR="00A42F1F" w:rsidP="00DB2C36" w:rsidRDefault="00A42F1F" w14:paraId="0E22F5E6" w14:textId="13D7DEBC">
            <w:pPr>
              <w:rPr>
                <w:rFonts w:ascii="Orgon" w:hAnsi="Orgon"/>
              </w:rPr>
            </w:pPr>
            <w:r>
              <w:rPr>
                <w:rFonts w:ascii="Orgon" w:hAnsi="Orgon"/>
              </w:rPr>
              <w:t xml:space="preserve">Datum en Ondertekening rechtsgeldige vertegenwoordiger </w:t>
            </w:r>
          </w:p>
        </w:tc>
      </w:tr>
      <w:tr w:rsidR="00A42F1F" w:rsidTr="41981746" w14:paraId="155DBACA" w14:textId="77777777">
        <w:tc>
          <w:tcPr>
            <w:tcW w:w="1101" w:type="dxa"/>
            <w:tcMar/>
          </w:tcPr>
          <w:p w:rsidR="00A42F1F" w:rsidP="00DB2C36" w:rsidRDefault="00A42F1F" w14:paraId="03374357" w14:textId="77777777">
            <w:pPr>
              <w:rPr>
                <w:rFonts w:ascii="Orgon" w:hAnsi="Orgon"/>
              </w:rPr>
            </w:pPr>
          </w:p>
        </w:tc>
        <w:tc>
          <w:tcPr>
            <w:tcW w:w="8111" w:type="dxa"/>
            <w:tcMar/>
          </w:tcPr>
          <w:p w:rsidR="00A42F1F" w:rsidP="00DB2C36" w:rsidRDefault="00A42F1F" w14:paraId="7A1F1461" w14:textId="77777777">
            <w:pPr>
              <w:rPr>
                <w:rFonts w:ascii="Orgon" w:hAnsi="Orgon"/>
              </w:rPr>
            </w:pPr>
          </w:p>
        </w:tc>
      </w:tr>
      <w:tr w:rsidR="00A42F1F" w:rsidTr="41981746" w14:paraId="7618A7B5" w14:textId="77777777">
        <w:tc>
          <w:tcPr>
            <w:tcW w:w="1101" w:type="dxa"/>
            <w:tcMar/>
          </w:tcPr>
          <w:p w:rsidR="00A42F1F" w:rsidP="00DB2C36" w:rsidRDefault="00A42F1F" w14:paraId="35E28A1B" w14:textId="77777777">
            <w:pPr>
              <w:rPr>
                <w:rFonts w:ascii="Orgon" w:hAnsi="Orgon"/>
              </w:rPr>
            </w:pPr>
          </w:p>
        </w:tc>
        <w:tc>
          <w:tcPr>
            <w:tcW w:w="8111" w:type="dxa"/>
            <w:tcMar/>
          </w:tcPr>
          <w:p w:rsidR="00A42F1F" w:rsidP="00DB2C36" w:rsidRDefault="00A42F1F" w14:paraId="4ED9016E" w14:textId="77777777">
            <w:pPr>
              <w:rPr>
                <w:rFonts w:ascii="Orgon" w:hAnsi="Orgon"/>
              </w:rPr>
            </w:pPr>
          </w:p>
        </w:tc>
      </w:tr>
      <w:tr w:rsidR="00A42F1F" w:rsidTr="41981746" w14:paraId="65B71E28" w14:textId="77777777">
        <w:tc>
          <w:tcPr>
            <w:tcW w:w="1101" w:type="dxa"/>
            <w:tcMar/>
          </w:tcPr>
          <w:p w:rsidR="00A42F1F" w:rsidP="00DB2C36" w:rsidRDefault="00A42F1F" w14:paraId="031B58A9" w14:textId="77777777">
            <w:pPr>
              <w:rPr>
                <w:rFonts w:ascii="Orgon" w:hAnsi="Orgon"/>
              </w:rPr>
            </w:pPr>
          </w:p>
        </w:tc>
        <w:tc>
          <w:tcPr>
            <w:tcW w:w="8111" w:type="dxa"/>
            <w:tcMar/>
          </w:tcPr>
          <w:p w:rsidR="00A42F1F" w:rsidP="00DB2C36" w:rsidRDefault="00A42F1F" w14:paraId="4B25017E" w14:textId="77777777">
            <w:pPr>
              <w:rPr>
                <w:rFonts w:ascii="Orgon" w:hAnsi="Orgon"/>
              </w:rPr>
            </w:pPr>
          </w:p>
        </w:tc>
      </w:tr>
      <w:tr w:rsidR="00A42F1F" w:rsidTr="41981746" w14:paraId="63E8A16D" w14:textId="77777777">
        <w:tc>
          <w:tcPr>
            <w:tcW w:w="1101" w:type="dxa"/>
            <w:tcMar/>
          </w:tcPr>
          <w:p w:rsidR="00A42F1F" w:rsidP="00DB2C36" w:rsidRDefault="00A42F1F" w14:paraId="3ECF58C9" w14:textId="77777777">
            <w:pPr>
              <w:rPr>
                <w:rFonts w:ascii="Orgon" w:hAnsi="Orgon"/>
              </w:rPr>
            </w:pPr>
          </w:p>
        </w:tc>
        <w:tc>
          <w:tcPr>
            <w:tcW w:w="8111" w:type="dxa"/>
            <w:tcMar/>
          </w:tcPr>
          <w:p w:rsidR="00A42F1F" w:rsidP="00DB2C36" w:rsidRDefault="00A42F1F" w14:paraId="338DD9C8" w14:textId="77777777">
            <w:pPr>
              <w:rPr>
                <w:rFonts w:ascii="Orgon" w:hAnsi="Orgon"/>
              </w:rPr>
            </w:pPr>
          </w:p>
        </w:tc>
      </w:tr>
      <w:tr w:rsidR="00A42F1F" w:rsidTr="41981746" w14:paraId="2D78F083" w14:textId="77777777">
        <w:tc>
          <w:tcPr>
            <w:tcW w:w="1101" w:type="dxa"/>
            <w:tcMar/>
          </w:tcPr>
          <w:p w:rsidR="00A42F1F" w:rsidP="00DB2C36" w:rsidRDefault="00A42F1F" w14:paraId="64A98433" w14:textId="77777777">
            <w:pPr>
              <w:rPr>
                <w:rFonts w:ascii="Orgon" w:hAnsi="Orgon"/>
              </w:rPr>
            </w:pPr>
          </w:p>
        </w:tc>
        <w:tc>
          <w:tcPr>
            <w:tcW w:w="8111" w:type="dxa"/>
            <w:tcMar/>
          </w:tcPr>
          <w:p w:rsidR="00A42F1F" w:rsidP="00DB2C36" w:rsidRDefault="00A42F1F" w14:paraId="56419834" w14:textId="77777777">
            <w:pPr>
              <w:rPr>
                <w:rFonts w:ascii="Orgon" w:hAnsi="Orgon"/>
              </w:rPr>
            </w:pPr>
          </w:p>
        </w:tc>
      </w:tr>
      <w:tr w:rsidR="00A42F1F" w:rsidTr="41981746" w14:paraId="11934B65" w14:textId="77777777">
        <w:tc>
          <w:tcPr>
            <w:tcW w:w="1101" w:type="dxa"/>
            <w:tcMar/>
          </w:tcPr>
          <w:p w:rsidR="00A42F1F" w:rsidP="00DB2C36" w:rsidRDefault="00A42F1F" w14:paraId="61CD53F1" w14:textId="77777777">
            <w:pPr>
              <w:rPr>
                <w:rFonts w:ascii="Orgon" w:hAnsi="Orgon"/>
              </w:rPr>
            </w:pPr>
          </w:p>
        </w:tc>
        <w:tc>
          <w:tcPr>
            <w:tcW w:w="8111" w:type="dxa"/>
            <w:tcMar/>
          </w:tcPr>
          <w:p w:rsidR="00A42F1F" w:rsidP="00DB2C36" w:rsidRDefault="00A42F1F" w14:paraId="1D1A35EB" w14:textId="77777777">
            <w:pPr>
              <w:rPr>
                <w:rFonts w:ascii="Orgon" w:hAnsi="Orgon"/>
              </w:rPr>
            </w:pPr>
          </w:p>
        </w:tc>
      </w:tr>
    </w:tbl>
    <w:p w:rsidRPr="00DB2C36" w:rsidR="00DB2C36" w:rsidP="00DB2C36" w:rsidRDefault="00DB2C36" w14:paraId="3CE32B8A" w14:textId="77777777">
      <w:pPr>
        <w:rPr>
          <w:rFonts w:ascii="Orgon" w:hAnsi="Orgon"/>
        </w:rPr>
      </w:pPr>
    </w:p>
    <w:sectPr w:rsidRPr="00DB2C36" w:rsidR="00DB2C36">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2C36" w:rsidP="00DB2C36" w:rsidRDefault="00DB2C36" w14:paraId="0A2F657E" w14:textId="77777777">
      <w:pPr>
        <w:spacing w:line="240" w:lineRule="auto"/>
      </w:pPr>
      <w:r>
        <w:separator/>
      </w:r>
    </w:p>
  </w:endnote>
  <w:endnote w:type="continuationSeparator" w:id="0">
    <w:p w:rsidR="00DB2C36" w:rsidP="00DB2C36" w:rsidRDefault="00DB2C36" w14:paraId="14DB223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gon">
    <w:panose1 w:val="02000503000000020004"/>
    <w:charset w:val="00"/>
    <w:family w:val="modern"/>
    <w:notTrueType/>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2C36" w:rsidP="00DB2C36" w:rsidRDefault="00DB2C36" w14:paraId="3E831977" w14:textId="77777777">
      <w:pPr>
        <w:spacing w:line="240" w:lineRule="auto"/>
      </w:pPr>
      <w:r>
        <w:separator/>
      </w:r>
    </w:p>
  </w:footnote>
  <w:footnote w:type="continuationSeparator" w:id="0">
    <w:p w:rsidR="00DB2C36" w:rsidP="00DB2C36" w:rsidRDefault="00DB2C36" w14:paraId="0208998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2C36" w:rsidR="00DB2C36" w:rsidP="00DB2C36" w:rsidRDefault="00DB2C36" w14:paraId="7A979FB8" w14:textId="10715426">
    <w:pPr>
      <w:pStyle w:val="Kop1"/>
      <w:rPr>
        <w:rFonts w:ascii="Orgon" w:hAnsi="Orgon"/>
      </w:rPr>
    </w:pPr>
    <w:r w:rsidRPr="00DB2C36">
      <w:rPr>
        <w:rFonts w:ascii="Orgon" w:hAnsi="Orgon"/>
      </w:rPr>
      <w:t>Bijlage B Programma van Eisen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554"/>
    <w:multiLevelType w:val="hybridMultilevel"/>
    <w:tmpl w:val="E7E2721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8A5AE8"/>
    <w:multiLevelType w:val="hybridMultilevel"/>
    <w:tmpl w:val="28CEEC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DC4BF4"/>
    <w:multiLevelType w:val="hybridMultilevel"/>
    <w:tmpl w:val="DA1623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9226AAF"/>
    <w:multiLevelType w:val="hybridMultilevel"/>
    <w:tmpl w:val="295628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8259272">
    <w:abstractNumId w:val="3"/>
  </w:num>
  <w:num w:numId="2" w16cid:durableId="1076054227">
    <w:abstractNumId w:val="1"/>
  </w:num>
  <w:num w:numId="3" w16cid:durableId="44763057">
    <w:abstractNumId w:val="2"/>
  </w:num>
  <w:num w:numId="4" w16cid:durableId="93482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2C36"/>
    <w:rsid w:val="005569BB"/>
    <w:rsid w:val="008C7AC6"/>
    <w:rsid w:val="00901AB2"/>
    <w:rsid w:val="00A42F1F"/>
    <w:rsid w:val="00DB2C36"/>
    <w:rsid w:val="00DB5587"/>
    <w:rsid w:val="00DE7EB6"/>
    <w:rsid w:val="00EF6CDD"/>
    <w:rsid w:val="00F5029E"/>
    <w:rsid w:val="025F6EBC"/>
    <w:rsid w:val="042C83F9"/>
    <w:rsid w:val="127EA60F"/>
    <w:rsid w:val="29F4FA09"/>
    <w:rsid w:val="3F931C76"/>
    <w:rsid w:val="41981746"/>
    <w:rsid w:val="48C3F2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D4EA"/>
  <w15:chartTrackingRefBased/>
  <w15:docId w15:val="{1DB44552-CC16-4748-8198-AF4D90EE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F6CDD"/>
    <w:pPr>
      <w:spacing w:after="0" w:line="227" w:lineRule="atLeast"/>
    </w:pPr>
    <w:rPr>
      <w:rFonts w:ascii="Arial" w:hAnsi="Arial"/>
      <w:sz w:val="20"/>
    </w:rPr>
  </w:style>
  <w:style w:type="paragraph" w:styleId="Kop1">
    <w:name w:val="heading 1"/>
    <w:basedOn w:val="Standaard"/>
    <w:next w:val="Standaard"/>
    <w:link w:val="Kop1Char"/>
    <w:uiPriority w:val="9"/>
    <w:qFormat/>
    <w:rsid w:val="00EF6CDD"/>
    <w:pPr>
      <w:keepNext/>
      <w:keepLines/>
      <w:outlineLvl w:val="0"/>
    </w:pPr>
    <w:rPr>
      <w:rFonts w:eastAsiaTheme="majorEastAsia" w:cstheme="majorBidi"/>
      <w:bCs/>
      <w:sz w:val="28"/>
      <w:szCs w:val="28"/>
    </w:rPr>
  </w:style>
  <w:style w:type="paragraph" w:styleId="Kop2">
    <w:name w:val="heading 2"/>
    <w:basedOn w:val="Standaard"/>
    <w:next w:val="Standaard"/>
    <w:link w:val="Kop2Char"/>
    <w:uiPriority w:val="9"/>
    <w:semiHidden/>
    <w:unhideWhenUsed/>
    <w:qFormat/>
    <w:rsid w:val="00EF6CDD"/>
    <w:pPr>
      <w:keepNext/>
      <w:keepLines/>
      <w:outlineLvl w:val="1"/>
    </w:pPr>
    <w:rPr>
      <w:rFonts w:eastAsiaTheme="majorEastAsia" w:cstheme="majorBidi"/>
      <w:b/>
      <w:bCs/>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F6CDD"/>
    <w:rPr>
      <w:rFonts w:ascii="Arial" w:hAnsi="Arial" w:eastAsiaTheme="majorEastAsia" w:cstheme="majorBidi"/>
      <w:bCs/>
      <w:sz w:val="28"/>
      <w:szCs w:val="28"/>
    </w:rPr>
  </w:style>
  <w:style w:type="character" w:styleId="Kop2Char" w:customStyle="1">
    <w:name w:val="Kop 2 Char"/>
    <w:basedOn w:val="Standaardalinea-lettertype"/>
    <w:link w:val="Kop2"/>
    <w:uiPriority w:val="9"/>
    <w:semiHidden/>
    <w:rsid w:val="00EF6CDD"/>
    <w:rPr>
      <w:rFonts w:ascii="Arial" w:hAnsi="Arial" w:eastAsiaTheme="majorEastAsia" w:cstheme="majorBidi"/>
      <w:b/>
      <w:bCs/>
      <w:sz w:val="20"/>
      <w:szCs w:val="26"/>
    </w:rPr>
  </w:style>
  <w:style w:type="paragraph" w:styleId="Koptekst">
    <w:name w:val="header"/>
    <w:basedOn w:val="Standaard"/>
    <w:link w:val="KoptekstChar"/>
    <w:uiPriority w:val="99"/>
    <w:unhideWhenUsed/>
    <w:rsid w:val="00DB2C3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DB2C36"/>
    <w:rPr>
      <w:rFonts w:ascii="Arial" w:hAnsi="Arial"/>
      <w:sz w:val="20"/>
    </w:rPr>
  </w:style>
  <w:style w:type="paragraph" w:styleId="Voettekst">
    <w:name w:val="footer"/>
    <w:basedOn w:val="Standaard"/>
    <w:link w:val="VoettekstChar"/>
    <w:uiPriority w:val="99"/>
    <w:unhideWhenUsed/>
    <w:rsid w:val="00DB2C36"/>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DB2C36"/>
    <w:rPr>
      <w:rFonts w:ascii="Arial" w:hAnsi="Arial"/>
      <w:sz w:val="20"/>
    </w:rPr>
  </w:style>
  <w:style w:type="table" w:styleId="Tabelraster">
    <w:name w:val="Table Grid"/>
    <w:basedOn w:val="Standaardtabel"/>
    <w:uiPriority w:val="59"/>
    <w:rsid w:val="00DB2C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rsid w:val="00DB2C36"/>
    <w:pPr>
      <w:ind w:left="720"/>
      <w:contextualSpacing/>
    </w:pPr>
  </w:style>
  <w:style w:type="paragraph" w:styleId="Geenafstand">
    <w:name w:val="No Spacing"/>
    <w:uiPriority w:val="1"/>
    <w:qFormat/>
    <w:rsid w:val="00DB5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Rita Soekhlal-Raghosing</dc:creator>
  <keywords/>
  <dc:description/>
  <lastModifiedBy>Sabine Lina</lastModifiedBy>
  <revision>5</revision>
  <dcterms:created xsi:type="dcterms:W3CDTF">2023-11-06T13:10:00.0000000Z</dcterms:created>
  <dcterms:modified xsi:type="dcterms:W3CDTF">2023-11-13T13:03:42.0825125Z</dcterms:modified>
</coreProperties>
</file>