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BA" w:rsidRDefault="00E976BA" w:rsidP="00E976BA">
      <w:pPr>
        <w:pStyle w:val="Geenafstand"/>
        <w:rPr>
          <w:b/>
          <w:sz w:val="32"/>
          <w:szCs w:val="32"/>
        </w:rPr>
      </w:pPr>
      <w:r w:rsidRPr="006528B2">
        <w:rPr>
          <w:b/>
          <w:sz w:val="32"/>
          <w:szCs w:val="32"/>
        </w:rPr>
        <w:t xml:space="preserve">Bijlage </w:t>
      </w:r>
      <w:r w:rsidR="00B059C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Internationale Sociale Voorwaarden</w:t>
      </w:r>
    </w:p>
    <w:p w:rsidR="00E976BA" w:rsidRPr="002D69B4" w:rsidRDefault="00E976BA" w:rsidP="00E976BA">
      <w:pPr>
        <w:pStyle w:val="Geenafstand"/>
        <w:rPr>
          <w:b/>
          <w:color w:val="00B0F0"/>
          <w:sz w:val="32"/>
          <w:szCs w:val="32"/>
        </w:rPr>
      </w:pPr>
    </w:p>
    <w:p w:rsidR="003E6243" w:rsidRDefault="003E6243" w:rsidP="00E976BA">
      <w:pPr>
        <w:pStyle w:val="Geenafstand"/>
        <w:rPr>
          <w:color w:val="00B0F0"/>
          <w:sz w:val="64"/>
          <w:szCs w:val="64"/>
        </w:rPr>
      </w:pPr>
    </w:p>
    <w:p w:rsidR="00E976BA" w:rsidRDefault="00E976BA" w:rsidP="00E976BA">
      <w:pPr>
        <w:pStyle w:val="Geenafstand"/>
        <w:rPr>
          <w:color w:val="00B0F0"/>
          <w:sz w:val="64"/>
          <w:szCs w:val="64"/>
        </w:rPr>
      </w:pPr>
      <w:r>
        <w:rPr>
          <w:color w:val="00B0F0"/>
          <w:sz w:val="64"/>
          <w:szCs w:val="64"/>
        </w:rPr>
        <w:t>Europese aanbesteding</w:t>
      </w:r>
    </w:p>
    <w:p w:rsidR="003E6243" w:rsidRDefault="003E6243" w:rsidP="00E976BA">
      <w:pPr>
        <w:pStyle w:val="Geenafstand"/>
        <w:rPr>
          <w:sz w:val="48"/>
          <w:szCs w:val="48"/>
        </w:rPr>
      </w:pPr>
    </w:p>
    <w:p w:rsidR="00E976BA" w:rsidRPr="002D69B4" w:rsidRDefault="003E6243" w:rsidP="00E976BA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Verpakkingsmaterialen</w:t>
      </w:r>
    </w:p>
    <w:p w:rsidR="00E976BA" w:rsidRDefault="003E6243" w:rsidP="00E976BA">
      <w:pPr>
        <w:pStyle w:val="Geenafstand"/>
        <w:rPr>
          <w:sz w:val="32"/>
          <w:szCs w:val="32"/>
        </w:rPr>
      </w:pPr>
      <w:r>
        <w:t>t.b.v. Dienst Justitiële Inrichtingen</w:t>
      </w:r>
    </w:p>
    <w:p w:rsidR="003E6243" w:rsidRDefault="003E6243" w:rsidP="00E976BA">
      <w:pPr>
        <w:pStyle w:val="Geenafstand"/>
        <w:rPr>
          <w:sz w:val="32"/>
          <w:szCs w:val="32"/>
        </w:rPr>
      </w:pPr>
    </w:p>
    <w:p w:rsidR="00E976BA" w:rsidRDefault="00E976BA" w:rsidP="00E976BA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Kenmerk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E6243">
        <w:rPr>
          <w:sz w:val="32"/>
          <w:szCs w:val="32"/>
        </w:rPr>
        <w:t>JvH/2023-03/DJI</w:t>
      </w:r>
    </w:p>
    <w:p w:rsidR="00E976BA" w:rsidRDefault="00E976BA" w:rsidP="00E976BA">
      <w:pPr>
        <w:rPr>
          <w:rFonts w:ascii="Verdana" w:eastAsiaTheme="minorEastAsia" w:hAnsi="Verdana"/>
          <w:sz w:val="32"/>
          <w:szCs w:val="32"/>
          <w:lang w:eastAsia="nl-NL"/>
        </w:rPr>
      </w:pPr>
      <w:r>
        <w:rPr>
          <w:sz w:val="32"/>
          <w:szCs w:val="32"/>
        </w:rPr>
        <w:br w:type="page"/>
      </w:r>
    </w:p>
    <w:p w:rsidR="00E976BA" w:rsidRPr="00AF6C09" w:rsidRDefault="00E976BA" w:rsidP="00E976BA">
      <w:pPr>
        <w:pStyle w:val="Geenafstand"/>
        <w:spacing w:line="0" w:lineRule="atLeast"/>
        <w:rPr>
          <w:i/>
          <w:sz w:val="18"/>
          <w:szCs w:val="18"/>
          <w:u w:val="single"/>
        </w:rPr>
      </w:pPr>
      <w:r w:rsidRPr="00AF6C09">
        <w:rPr>
          <w:i/>
          <w:sz w:val="18"/>
          <w:szCs w:val="18"/>
          <w:u w:val="single"/>
        </w:rPr>
        <w:lastRenderedPageBreak/>
        <w:t xml:space="preserve">Due diligence </w:t>
      </w:r>
    </w:p>
    <w:p w:rsidR="00E976BA" w:rsidRPr="00AF6C09" w:rsidRDefault="00E976BA" w:rsidP="00E976BA">
      <w:pPr>
        <w:pStyle w:val="Geenafstand"/>
        <w:spacing w:line="0" w:lineRule="atLeast"/>
        <w:rPr>
          <w:b/>
          <w:sz w:val="18"/>
          <w:szCs w:val="18"/>
        </w:rPr>
      </w:pPr>
      <w:r w:rsidRPr="00AF6C09">
        <w:rPr>
          <w:sz w:val="18"/>
          <w:szCs w:val="18"/>
        </w:rPr>
        <w:t xml:space="preserve">Een onderneming geeft invulling aan </w:t>
      </w:r>
      <w:r>
        <w:rPr>
          <w:sz w:val="18"/>
          <w:szCs w:val="18"/>
        </w:rPr>
        <w:t>het naleven van de</w:t>
      </w:r>
      <w:r w:rsidRPr="005710DD">
        <w:rPr>
          <w:sz w:val="18"/>
          <w:szCs w:val="18"/>
        </w:rPr>
        <w:t xml:space="preserve"> I</w:t>
      </w:r>
      <w:r>
        <w:rPr>
          <w:sz w:val="18"/>
          <w:szCs w:val="18"/>
        </w:rPr>
        <w:t>SV</w:t>
      </w:r>
      <w:r w:rsidRPr="005710DD">
        <w:rPr>
          <w:sz w:val="18"/>
          <w:szCs w:val="18"/>
        </w:rPr>
        <w:t xml:space="preserve"> door middel van</w:t>
      </w:r>
      <w:r>
        <w:rPr>
          <w:sz w:val="18"/>
          <w:szCs w:val="18"/>
        </w:rPr>
        <w:t xml:space="preserve"> het uitvoeren van</w:t>
      </w:r>
      <w:r w:rsidRPr="005710DD">
        <w:rPr>
          <w:sz w:val="18"/>
          <w:szCs w:val="18"/>
        </w:rPr>
        <w:t xml:space="preserve"> een zogenaamd</w:t>
      </w:r>
      <w:r>
        <w:rPr>
          <w:sz w:val="18"/>
          <w:szCs w:val="18"/>
        </w:rPr>
        <w:t>e</w:t>
      </w:r>
      <w:r w:rsidRPr="005710DD">
        <w:rPr>
          <w:sz w:val="18"/>
          <w:szCs w:val="18"/>
        </w:rPr>
        <w:t xml:space="preserve"> </w:t>
      </w:r>
      <w:r w:rsidRPr="00887797">
        <w:rPr>
          <w:i/>
          <w:sz w:val="18"/>
          <w:szCs w:val="18"/>
        </w:rPr>
        <w:t>due diligence.</w:t>
      </w:r>
      <w:r w:rsidRPr="005710DD">
        <w:rPr>
          <w:sz w:val="18"/>
          <w:szCs w:val="18"/>
        </w:rPr>
        <w:t xml:space="preserve"> </w:t>
      </w:r>
      <w:r>
        <w:rPr>
          <w:sz w:val="18"/>
          <w:szCs w:val="18"/>
        </w:rPr>
        <w:t>Dit</w:t>
      </w:r>
      <w:r w:rsidRPr="005710DD">
        <w:rPr>
          <w:sz w:val="18"/>
          <w:szCs w:val="18"/>
        </w:rPr>
        <w:t xml:space="preserve"> is een </w:t>
      </w:r>
      <w:r w:rsidRPr="005710DD">
        <w:rPr>
          <w:rFonts w:cs="Calibri"/>
          <w:sz w:val="18"/>
          <w:szCs w:val="18"/>
        </w:rPr>
        <w:t xml:space="preserve">doorlopend proces dat bedrijven helpt risico’s op het </w:t>
      </w:r>
      <w:r>
        <w:rPr>
          <w:rFonts w:cs="Calibri"/>
          <w:sz w:val="18"/>
          <w:szCs w:val="18"/>
        </w:rPr>
        <w:t xml:space="preserve">schenden </w:t>
      </w:r>
      <w:r w:rsidRPr="005710DD">
        <w:rPr>
          <w:rFonts w:cs="Calibri"/>
          <w:sz w:val="18"/>
          <w:szCs w:val="18"/>
        </w:rPr>
        <w:t>van arbeids- en</w:t>
      </w:r>
      <w:r w:rsidRPr="00AF6C09">
        <w:rPr>
          <w:rFonts w:cs="Calibri"/>
          <w:sz w:val="18"/>
          <w:szCs w:val="18"/>
        </w:rPr>
        <w:t xml:space="preserve"> mensenrechten in de eigen organisatie en de bijbehorende productieketen in kaart te brengen en die vervolgens te voorkomen, verminderen, herstellen en/of compenseren. Onderde</w:t>
      </w:r>
      <w:r>
        <w:rPr>
          <w:rFonts w:cs="Calibri"/>
          <w:sz w:val="18"/>
          <w:szCs w:val="18"/>
        </w:rPr>
        <w:t>len</w:t>
      </w:r>
      <w:r w:rsidRPr="00AF6C09">
        <w:rPr>
          <w:rFonts w:cs="Calibri"/>
          <w:sz w:val="18"/>
          <w:szCs w:val="18"/>
        </w:rPr>
        <w:t xml:space="preserve"> van dit proces </w:t>
      </w:r>
      <w:r>
        <w:rPr>
          <w:rFonts w:cs="Calibri"/>
          <w:sz w:val="18"/>
          <w:szCs w:val="18"/>
        </w:rPr>
        <w:t>zijn ten eerste</w:t>
      </w:r>
      <w:r w:rsidRPr="00AF6C09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het </w:t>
      </w:r>
      <w:r w:rsidRPr="00AF6C09">
        <w:rPr>
          <w:rFonts w:cs="Calibri"/>
          <w:sz w:val="18"/>
          <w:szCs w:val="18"/>
        </w:rPr>
        <w:t>op</w:t>
      </w:r>
      <w:r>
        <w:rPr>
          <w:rFonts w:cs="Calibri"/>
          <w:sz w:val="18"/>
          <w:szCs w:val="18"/>
        </w:rPr>
        <w:t xml:space="preserve">stellen van een risicoanalyse, ten tweede het opstellen van </w:t>
      </w:r>
      <w:r w:rsidRPr="00AF6C09">
        <w:rPr>
          <w:rFonts w:cs="Calibri"/>
          <w:sz w:val="18"/>
          <w:szCs w:val="18"/>
        </w:rPr>
        <w:t xml:space="preserve">een plan van aanpak en </w:t>
      </w:r>
      <w:r>
        <w:rPr>
          <w:rFonts w:cs="Calibri"/>
          <w:sz w:val="18"/>
          <w:szCs w:val="18"/>
        </w:rPr>
        <w:t xml:space="preserve">ten derde een </w:t>
      </w:r>
      <w:r w:rsidRPr="00AF6C09">
        <w:rPr>
          <w:rFonts w:cs="Calibri"/>
          <w:sz w:val="18"/>
          <w:szCs w:val="18"/>
        </w:rPr>
        <w:t>jaarlijkse rapportageverplichting. Met dit proces wil</w:t>
      </w:r>
      <w:r>
        <w:rPr>
          <w:rFonts w:cs="Calibri"/>
          <w:sz w:val="18"/>
          <w:szCs w:val="18"/>
        </w:rPr>
        <w:t xml:space="preserve"> de Rijksoverheid </w:t>
      </w:r>
      <w:r w:rsidRPr="00AF6C09">
        <w:rPr>
          <w:rFonts w:cs="Calibri"/>
          <w:sz w:val="18"/>
          <w:szCs w:val="18"/>
        </w:rPr>
        <w:t xml:space="preserve"> bereiken dat </w:t>
      </w:r>
      <w:r>
        <w:rPr>
          <w:rFonts w:cs="Calibri"/>
          <w:sz w:val="18"/>
          <w:szCs w:val="18"/>
        </w:rPr>
        <w:t>(</w:t>
      </w:r>
      <w:r w:rsidRPr="00AF6C09">
        <w:rPr>
          <w:rFonts w:cs="Calibri"/>
          <w:sz w:val="18"/>
          <w:szCs w:val="18"/>
        </w:rPr>
        <w:t>de risico</w:t>
      </w:r>
      <w:r>
        <w:rPr>
          <w:rFonts w:cs="Calibri"/>
          <w:sz w:val="18"/>
          <w:szCs w:val="18"/>
        </w:rPr>
        <w:t>’</w:t>
      </w:r>
      <w:r w:rsidRPr="00AF6C09">
        <w:rPr>
          <w:rFonts w:cs="Calibri"/>
          <w:sz w:val="18"/>
          <w:szCs w:val="18"/>
        </w:rPr>
        <w:t>s op</w:t>
      </w:r>
      <w:r>
        <w:rPr>
          <w:rFonts w:cs="Calibri"/>
          <w:sz w:val="18"/>
          <w:szCs w:val="18"/>
        </w:rPr>
        <w:t>)</w:t>
      </w:r>
      <w:r w:rsidRPr="00AF6C09">
        <w:rPr>
          <w:rFonts w:cs="Calibri"/>
          <w:sz w:val="18"/>
          <w:szCs w:val="18"/>
        </w:rPr>
        <w:t xml:space="preserve"> arbeids- en mensenrechtenschendingen binnen de internationale ketens word</w:t>
      </w:r>
      <w:r>
        <w:rPr>
          <w:rFonts w:cs="Calibri"/>
          <w:sz w:val="18"/>
          <w:szCs w:val="18"/>
        </w:rPr>
        <w:t>en</w:t>
      </w:r>
      <w:r w:rsidRPr="00AF6C09">
        <w:rPr>
          <w:rFonts w:cs="Calibri"/>
          <w:sz w:val="18"/>
          <w:szCs w:val="18"/>
        </w:rPr>
        <w:t xml:space="preserve"> ver</w:t>
      </w:r>
      <w:r>
        <w:rPr>
          <w:rFonts w:cs="Calibri"/>
          <w:sz w:val="18"/>
          <w:szCs w:val="18"/>
        </w:rPr>
        <w:t>kleind</w:t>
      </w:r>
      <w:r w:rsidRPr="00AF6C09">
        <w:rPr>
          <w:rFonts w:cs="Calibri"/>
          <w:sz w:val="18"/>
          <w:szCs w:val="18"/>
        </w:rPr>
        <w:t xml:space="preserve">. </w:t>
      </w:r>
    </w:p>
    <w:p w:rsidR="00E976BA" w:rsidRDefault="00E976BA" w:rsidP="00E976BA">
      <w:pPr>
        <w:pStyle w:val="Geenafstand"/>
        <w:spacing w:line="0" w:lineRule="atLeast"/>
        <w:rPr>
          <w:sz w:val="18"/>
          <w:szCs w:val="18"/>
        </w:rPr>
      </w:pPr>
      <w:r>
        <w:rPr>
          <w:sz w:val="18"/>
          <w:szCs w:val="18"/>
        </w:rPr>
        <w:br/>
        <w:t xml:space="preserve">Onder </w:t>
      </w:r>
      <w:r w:rsidRPr="00887797">
        <w:rPr>
          <w:i/>
          <w:sz w:val="18"/>
          <w:szCs w:val="18"/>
        </w:rPr>
        <w:t>due diligence</w:t>
      </w:r>
      <w:r>
        <w:rPr>
          <w:sz w:val="18"/>
          <w:szCs w:val="18"/>
        </w:rPr>
        <w:t xml:space="preserve"> wordt, anders dan de gangbare term in de accountancy, geen boekenonderzoek verstaan, maar een proces om met gepaste zorgvuldigheid inzicht te bieden in de eventuele risico’s op arbeids- en mensenrechtenschendingen die zich in de internationale keten voordoen.   </w:t>
      </w:r>
    </w:p>
    <w:p w:rsidR="00E976BA" w:rsidRPr="00B059CE" w:rsidRDefault="00E976BA" w:rsidP="00E976BA">
      <w:pPr>
        <w:spacing w:after="0" w:line="0" w:lineRule="atLeast"/>
        <w:rPr>
          <w:rFonts w:ascii="Verdana" w:hAnsi="Verdana"/>
          <w:sz w:val="18"/>
          <w:szCs w:val="18"/>
          <w:lang w:eastAsia="nl-NL"/>
        </w:rPr>
      </w:pPr>
    </w:p>
    <w:p w:rsidR="00E976BA" w:rsidRPr="00B059CE" w:rsidRDefault="00B059CE" w:rsidP="00B059CE">
      <w:pPr>
        <w:spacing w:after="0" w:line="0" w:lineRule="atLeast"/>
        <w:rPr>
          <w:rFonts w:ascii="Verdana" w:hAnsi="Verdana"/>
          <w:sz w:val="18"/>
          <w:szCs w:val="18"/>
          <w:lang w:eastAsia="nl-NL"/>
        </w:rPr>
      </w:pPr>
      <w:r w:rsidRPr="00B059CE">
        <w:rPr>
          <w:rFonts w:ascii="Verdana" w:hAnsi="Verdana"/>
          <w:sz w:val="18"/>
          <w:szCs w:val="18"/>
          <w:lang w:eastAsia="nl-NL"/>
        </w:rPr>
        <w:t xml:space="preserve">Op verzoek geeft </w:t>
      </w:r>
      <w:r>
        <w:rPr>
          <w:rFonts w:ascii="Verdana" w:hAnsi="Verdana"/>
          <w:sz w:val="18"/>
          <w:szCs w:val="18"/>
          <w:lang w:eastAsia="nl-NL"/>
        </w:rPr>
        <w:t>l</w:t>
      </w:r>
      <w:r w:rsidRPr="00B059CE">
        <w:rPr>
          <w:rFonts w:ascii="Verdana" w:hAnsi="Verdana"/>
          <w:sz w:val="18"/>
          <w:szCs w:val="18"/>
          <w:lang w:eastAsia="nl-NL"/>
        </w:rPr>
        <w:t>everancier inzage in de inzet en naleving ten aanzien van de</w:t>
      </w:r>
      <w:r>
        <w:rPr>
          <w:rFonts w:ascii="Verdana" w:hAnsi="Verdana"/>
          <w:sz w:val="18"/>
          <w:szCs w:val="18"/>
          <w:lang w:eastAsia="nl-NL"/>
        </w:rPr>
        <w:t xml:space="preserve"> ISV. Hieruit moet blijken dat l</w:t>
      </w:r>
      <w:r w:rsidRPr="00B059CE">
        <w:rPr>
          <w:rFonts w:ascii="Verdana" w:hAnsi="Verdana"/>
          <w:sz w:val="18"/>
          <w:szCs w:val="18"/>
          <w:lang w:eastAsia="nl-NL"/>
        </w:rPr>
        <w:t xml:space="preserve">everancier zijn uiterste best heeft gedaan en maximale inzet heeft getoond om de risico’s ten opzichte van de vorige rapportage verder te mitigeren. </w:t>
      </w:r>
      <w:r w:rsidR="00E976BA" w:rsidRPr="00B059CE">
        <w:rPr>
          <w:rFonts w:ascii="Verdana" w:hAnsi="Verdana"/>
          <w:sz w:val="18"/>
          <w:szCs w:val="18"/>
        </w:rPr>
        <w:t xml:space="preserve">Bij de uitvoering van de </w:t>
      </w:r>
      <w:r w:rsidR="00E976BA" w:rsidRPr="00B059CE">
        <w:rPr>
          <w:rFonts w:ascii="Verdana" w:hAnsi="Verdana"/>
          <w:i/>
          <w:sz w:val="18"/>
          <w:szCs w:val="18"/>
        </w:rPr>
        <w:t xml:space="preserve">due diligence </w:t>
      </w:r>
      <w:r w:rsidR="00E976BA" w:rsidRPr="00B059CE">
        <w:rPr>
          <w:rFonts w:ascii="Verdana" w:hAnsi="Verdana"/>
          <w:sz w:val="18"/>
          <w:szCs w:val="18"/>
        </w:rPr>
        <w:t xml:space="preserve">bij onderhavige opdracht dient de </w:t>
      </w:r>
      <w:r w:rsidRPr="00B059CE">
        <w:rPr>
          <w:rFonts w:ascii="Verdana" w:hAnsi="Verdana"/>
          <w:sz w:val="18"/>
          <w:szCs w:val="18"/>
        </w:rPr>
        <w:t>leverancier</w:t>
      </w:r>
      <w:r w:rsidR="00E976BA" w:rsidRPr="00B059CE">
        <w:rPr>
          <w:rFonts w:ascii="Verdana" w:hAnsi="Verdana"/>
          <w:sz w:val="18"/>
          <w:szCs w:val="18"/>
        </w:rPr>
        <w:t xml:space="preserve"> zich te concentreren op de eerste schakel van het productieproces. </w:t>
      </w:r>
    </w:p>
    <w:p w:rsidR="00E976BA" w:rsidRPr="00B059CE" w:rsidRDefault="00E976BA" w:rsidP="00E976BA">
      <w:pPr>
        <w:pStyle w:val="Geenafstand"/>
        <w:spacing w:line="0" w:lineRule="atLeast"/>
        <w:rPr>
          <w:sz w:val="18"/>
          <w:szCs w:val="18"/>
        </w:rPr>
      </w:pPr>
    </w:p>
    <w:p w:rsidR="00E976BA" w:rsidRPr="0000741A" w:rsidRDefault="00E976BA" w:rsidP="00E976BA">
      <w:pPr>
        <w:pStyle w:val="Geenafstand"/>
        <w:spacing w:line="0" w:lineRule="atLeast"/>
        <w:rPr>
          <w:i/>
          <w:sz w:val="18"/>
          <w:szCs w:val="18"/>
        </w:rPr>
      </w:pPr>
      <w:r>
        <w:rPr>
          <w:i/>
          <w:sz w:val="18"/>
          <w:szCs w:val="18"/>
        </w:rPr>
        <w:t>Wat houdt de due diligence in?</w:t>
      </w:r>
    </w:p>
    <w:p w:rsidR="00E976BA" w:rsidRDefault="00E976BA" w:rsidP="00E976BA">
      <w:pPr>
        <w:pStyle w:val="Geenafstand"/>
        <w:numPr>
          <w:ilvl w:val="0"/>
          <w:numId w:val="1"/>
        </w:numPr>
        <w:spacing w:line="0" w:lineRule="atLeast"/>
        <w:ind w:left="284" w:hanging="284"/>
        <w:rPr>
          <w:sz w:val="18"/>
        </w:rPr>
      </w:pPr>
      <w:r w:rsidRPr="0081498D">
        <w:rPr>
          <w:sz w:val="18"/>
          <w:u w:val="single"/>
        </w:rPr>
        <w:t>Risicoanalyse productieketen</w:t>
      </w:r>
      <w:r w:rsidRPr="0081498D">
        <w:rPr>
          <w:sz w:val="18"/>
        </w:rPr>
        <w:t xml:space="preserve"> –</w:t>
      </w:r>
      <w:r>
        <w:rPr>
          <w:sz w:val="18"/>
        </w:rPr>
        <w:t xml:space="preserve"> uiterlijk </w:t>
      </w:r>
      <w:r>
        <w:rPr>
          <w:b/>
          <w:sz w:val="18"/>
        </w:rPr>
        <w:t xml:space="preserve">3 maanden </w:t>
      </w:r>
      <w:r w:rsidRPr="0081498D">
        <w:rPr>
          <w:sz w:val="18"/>
        </w:rPr>
        <w:t>na definitieve gunning van de opdracht</w:t>
      </w:r>
      <w:r>
        <w:rPr>
          <w:sz w:val="18"/>
        </w:rPr>
        <w:t xml:space="preserve"> wordt een </w:t>
      </w:r>
      <w:r w:rsidRPr="005A45A3">
        <w:rPr>
          <w:sz w:val="18"/>
        </w:rPr>
        <w:t>risicoanalyse door de opdrachtnemer aangeleverd</w:t>
      </w:r>
      <w:r>
        <w:rPr>
          <w:sz w:val="18"/>
        </w:rPr>
        <w:t xml:space="preserve"> ten aanzien van </w:t>
      </w:r>
      <w:r w:rsidRPr="00AF6C09">
        <w:rPr>
          <w:sz w:val="18"/>
          <w:szCs w:val="18"/>
        </w:rPr>
        <w:t xml:space="preserve">de </w:t>
      </w:r>
      <w:r w:rsidRPr="007E0DB1">
        <w:rPr>
          <w:i/>
          <w:sz w:val="18"/>
          <w:szCs w:val="18"/>
        </w:rPr>
        <w:t>[eerste schakel/ # schakels/ gehele keten]</w:t>
      </w:r>
      <w:r w:rsidRPr="00AF6C09">
        <w:rPr>
          <w:sz w:val="18"/>
          <w:szCs w:val="18"/>
        </w:rPr>
        <w:t xml:space="preserve"> van het productieproces</w:t>
      </w:r>
      <w:r>
        <w:rPr>
          <w:sz w:val="18"/>
          <w:szCs w:val="18"/>
        </w:rPr>
        <w:t xml:space="preserve"> waarin het volgende is opgenomen:</w:t>
      </w:r>
    </w:p>
    <w:p w:rsidR="00E976BA" w:rsidRDefault="00E976BA" w:rsidP="00E976BA">
      <w:pPr>
        <w:pStyle w:val="Geenafstand"/>
        <w:spacing w:line="0" w:lineRule="atLeast"/>
        <w:ind w:left="720"/>
        <w:rPr>
          <w:sz w:val="18"/>
        </w:rPr>
      </w:pPr>
    </w:p>
    <w:p w:rsidR="00E976BA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 xml:space="preserve">een beschrijving van de </w:t>
      </w:r>
      <w:bookmarkStart w:id="0" w:name="_GoBack"/>
      <w:bookmarkEnd w:id="0"/>
      <w:r w:rsidR="00B059CE">
        <w:rPr>
          <w:i/>
          <w:sz w:val="18"/>
          <w:szCs w:val="18"/>
        </w:rPr>
        <w:t xml:space="preserve">eerste schakel </w:t>
      </w:r>
      <w:r w:rsidRPr="00AF6C09">
        <w:rPr>
          <w:sz w:val="18"/>
          <w:szCs w:val="18"/>
        </w:rPr>
        <w:t>van het productieproces</w:t>
      </w:r>
      <w:r>
        <w:rPr>
          <w:sz w:val="18"/>
          <w:szCs w:val="18"/>
        </w:rPr>
        <w:t>;</w:t>
      </w:r>
    </w:p>
    <w:p w:rsidR="00E976BA" w:rsidRPr="00570B40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e</w:t>
      </w:r>
      <w:r w:rsidRPr="00570B40">
        <w:rPr>
          <w:sz w:val="18"/>
        </w:rPr>
        <w:t>en analyse van de risico’s op schending van arbeids- en mensenrechten in</w:t>
      </w:r>
      <w:r>
        <w:rPr>
          <w:sz w:val="18"/>
        </w:rPr>
        <w:t xml:space="preserve"> de</w:t>
      </w:r>
      <w:r w:rsidRPr="00570B40">
        <w:rPr>
          <w:sz w:val="18"/>
        </w:rPr>
        <w:t xml:space="preserve"> </w:t>
      </w:r>
      <w:r>
        <w:rPr>
          <w:sz w:val="18"/>
        </w:rPr>
        <w:t>eerste schakel</w:t>
      </w:r>
      <w:r w:rsidRPr="00570B40">
        <w:rPr>
          <w:sz w:val="18"/>
        </w:rPr>
        <w:t xml:space="preserve"> van het productieproces</w:t>
      </w:r>
      <w:r>
        <w:rPr>
          <w:sz w:val="18"/>
        </w:rPr>
        <w:t>.</w:t>
      </w:r>
    </w:p>
    <w:p w:rsidR="00E976BA" w:rsidRDefault="00E976BA" w:rsidP="00E976BA">
      <w:pPr>
        <w:pStyle w:val="Geenafstand"/>
        <w:spacing w:line="0" w:lineRule="atLeast"/>
        <w:ind w:left="1080"/>
        <w:rPr>
          <w:sz w:val="18"/>
        </w:rPr>
      </w:pPr>
    </w:p>
    <w:p w:rsidR="00E976BA" w:rsidRPr="0081498D" w:rsidRDefault="00E976BA" w:rsidP="00E976BA">
      <w:pPr>
        <w:pStyle w:val="Geenafstand"/>
        <w:numPr>
          <w:ilvl w:val="0"/>
          <w:numId w:val="3"/>
        </w:numPr>
        <w:spacing w:line="0" w:lineRule="atLeast"/>
        <w:ind w:left="567" w:hanging="283"/>
        <w:rPr>
          <w:sz w:val="18"/>
        </w:rPr>
      </w:pPr>
      <w:r w:rsidRPr="0081498D">
        <w:rPr>
          <w:sz w:val="18"/>
        </w:rPr>
        <w:t>Een handig hulpmiddel voor het uitvoeren</w:t>
      </w:r>
      <w:r>
        <w:rPr>
          <w:sz w:val="18"/>
        </w:rPr>
        <w:t xml:space="preserve"> en opstellen</w:t>
      </w:r>
      <w:r w:rsidRPr="0081498D">
        <w:rPr>
          <w:sz w:val="18"/>
        </w:rPr>
        <w:t xml:space="preserve"> van een risicoanalyse is de </w:t>
      </w:r>
      <w:hyperlink r:id="rId5" w:history="1">
        <w:r w:rsidRPr="0081498D">
          <w:rPr>
            <w:rStyle w:val="Hyperlink"/>
            <w:sz w:val="18"/>
          </w:rPr>
          <w:t>MVO Risico Checker voor ondernemers</w:t>
        </w:r>
      </w:hyperlink>
      <w:r w:rsidRPr="0081498D">
        <w:rPr>
          <w:sz w:val="18"/>
        </w:rPr>
        <w:t xml:space="preserve">. </w:t>
      </w:r>
    </w:p>
    <w:p w:rsidR="00E976BA" w:rsidRPr="0081498D" w:rsidRDefault="00E976BA" w:rsidP="00E976BA">
      <w:pPr>
        <w:pStyle w:val="Geenafstand"/>
        <w:spacing w:line="0" w:lineRule="atLeast"/>
        <w:rPr>
          <w:sz w:val="18"/>
        </w:rPr>
      </w:pPr>
    </w:p>
    <w:p w:rsidR="00E976BA" w:rsidRDefault="00E976BA" w:rsidP="00E976BA">
      <w:pPr>
        <w:pStyle w:val="Geenafstand"/>
        <w:numPr>
          <w:ilvl w:val="0"/>
          <w:numId w:val="1"/>
        </w:numPr>
        <w:spacing w:line="0" w:lineRule="atLeast"/>
        <w:ind w:left="284" w:hanging="284"/>
        <w:rPr>
          <w:sz w:val="18"/>
        </w:rPr>
      </w:pPr>
      <w:r w:rsidRPr="0081498D">
        <w:rPr>
          <w:sz w:val="18"/>
          <w:u w:val="single"/>
        </w:rPr>
        <w:t xml:space="preserve">Plan van aanpak mitigeren risico’s </w:t>
      </w:r>
      <w:r w:rsidRPr="0081498D">
        <w:rPr>
          <w:sz w:val="18"/>
        </w:rPr>
        <w:t xml:space="preserve">– uiterlijk </w:t>
      </w:r>
      <w:r>
        <w:rPr>
          <w:b/>
          <w:sz w:val="18"/>
        </w:rPr>
        <w:t>6</w:t>
      </w:r>
      <w:r w:rsidRPr="0081498D">
        <w:rPr>
          <w:b/>
          <w:sz w:val="18"/>
        </w:rPr>
        <w:t xml:space="preserve"> maanden</w:t>
      </w:r>
      <w:r w:rsidRPr="0081498D">
        <w:rPr>
          <w:sz w:val="18"/>
        </w:rPr>
        <w:t xml:space="preserve"> na </w:t>
      </w:r>
      <w:r>
        <w:rPr>
          <w:sz w:val="18"/>
        </w:rPr>
        <w:t xml:space="preserve">definitieve gunning van de opdracht wordt een plan van aanpak </w:t>
      </w:r>
      <w:r w:rsidRPr="00A10940">
        <w:rPr>
          <w:sz w:val="18"/>
        </w:rPr>
        <w:t>door de opdrachtnemer verstrekt</w:t>
      </w:r>
      <w:r>
        <w:rPr>
          <w:sz w:val="18"/>
        </w:rPr>
        <w:t xml:space="preserve"> om de risico’s die  in de risicoanalyse zijn vermeld te mitigeren</w:t>
      </w:r>
      <w:r w:rsidRPr="0081498D">
        <w:rPr>
          <w:sz w:val="18"/>
        </w:rPr>
        <w:t>.</w:t>
      </w:r>
    </w:p>
    <w:p w:rsidR="00E976BA" w:rsidRDefault="00E976BA" w:rsidP="00E976BA">
      <w:pPr>
        <w:pStyle w:val="Geenafstand"/>
        <w:spacing w:line="0" w:lineRule="atLeast"/>
        <w:ind w:left="1080"/>
        <w:rPr>
          <w:sz w:val="18"/>
        </w:rPr>
      </w:pPr>
    </w:p>
    <w:p w:rsidR="00E976BA" w:rsidRPr="00A10940" w:rsidRDefault="00E976BA" w:rsidP="00E976BA">
      <w:pPr>
        <w:pStyle w:val="Geenafstand"/>
        <w:spacing w:line="0" w:lineRule="atLeast"/>
        <w:ind w:left="284"/>
        <w:rPr>
          <w:sz w:val="18"/>
        </w:rPr>
      </w:pPr>
      <w:r>
        <w:rPr>
          <w:sz w:val="18"/>
        </w:rPr>
        <w:t>In het plan van aanpak zijn opgenomen</w:t>
      </w:r>
      <w:r w:rsidRPr="00A10940">
        <w:rPr>
          <w:sz w:val="18"/>
        </w:rPr>
        <w:t>:</w:t>
      </w:r>
    </w:p>
    <w:p w:rsidR="00E976BA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e</w:t>
      </w:r>
      <w:r w:rsidRPr="0081498D">
        <w:rPr>
          <w:sz w:val="18"/>
        </w:rPr>
        <w:t xml:space="preserve">en </w:t>
      </w:r>
      <w:r>
        <w:rPr>
          <w:sz w:val="18"/>
        </w:rPr>
        <w:t>overzicht en beschrijving van</w:t>
      </w:r>
      <w:r w:rsidRPr="0081498D">
        <w:rPr>
          <w:sz w:val="18"/>
        </w:rPr>
        <w:t xml:space="preserve"> de inspanningen die de opdrachtnemer zal </w:t>
      </w:r>
      <w:r>
        <w:rPr>
          <w:sz w:val="18"/>
        </w:rPr>
        <w:t xml:space="preserve">leveren om de risico’s te mitigeren;. 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een planning ten aanzien van de inspanningen die de opdrachtnemer zal leveren;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 xml:space="preserve">(optioneel) </w:t>
      </w:r>
      <w:r w:rsidRPr="0081498D">
        <w:rPr>
          <w:sz w:val="18"/>
        </w:rPr>
        <w:t xml:space="preserve">een toelichting op </w:t>
      </w:r>
      <w:r>
        <w:rPr>
          <w:sz w:val="18"/>
        </w:rPr>
        <w:t>het</w:t>
      </w:r>
      <w:r w:rsidRPr="0081498D">
        <w:rPr>
          <w:sz w:val="18"/>
        </w:rPr>
        <w:t xml:space="preserve"> tot</w:t>
      </w:r>
      <w:r>
        <w:rPr>
          <w:sz w:val="18"/>
        </w:rPr>
        <w:t xml:space="preserve"> </w:t>
      </w:r>
      <w:r w:rsidRPr="0081498D">
        <w:rPr>
          <w:sz w:val="18"/>
        </w:rPr>
        <w:t>stand</w:t>
      </w:r>
      <w:r>
        <w:rPr>
          <w:sz w:val="18"/>
        </w:rPr>
        <w:t xml:space="preserve"> </w:t>
      </w:r>
      <w:r w:rsidRPr="0081498D">
        <w:rPr>
          <w:sz w:val="18"/>
        </w:rPr>
        <w:t>kom</w:t>
      </w:r>
      <w:r>
        <w:rPr>
          <w:sz w:val="18"/>
        </w:rPr>
        <w:t>en</w:t>
      </w:r>
      <w:r w:rsidRPr="0081498D">
        <w:rPr>
          <w:sz w:val="18"/>
        </w:rPr>
        <w:t xml:space="preserve"> van het plan van aanpak, bijvoorbeeld informatie over de betrokkenheid van stakeholders.</w:t>
      </w:r>
    </w:p>
    <w:p w:rsidR="00E976BA" w:rsidRPr="00E976BA" w:rsidRDefault="00E976BA" w:rsidP="00E976BA">
      <w:pPr>
        <w:pStyle w:val="Geenafstand"/>
        <w:spacing w:line="0" w:lineRule="atLeast"/>
        <w:rPr>
          <w:sz w:val="18"/>
          <w:szCs w:val="18"/>
        </w:rPr>
      </w:pPr>
    </w:p>
    <w:p w:rsidR="00E976BA" w:rsidRPr="00CD27DA" w:rsidRDefault="00E976BA" w:rsidP="00E976BA">
      <w:pPr>
        <w:pStyle w:val="Geenafstand"/>
        <w:numPr>
          <w:ilvl w:val="0"/>
          <w:numId w:val="3"/>
        </w:numPr>
        <w:spacing w:line="0" w:lineRule="atLeast"/>
        <w:ind w:left="567" w:hanging="283"/>
        <w:rPr>
          <w:sz w:val="18"/>
          <w:szCs w:val="18"/>
        </w:rPr>
      </w:pPr>
      <w:r w:rsidRPr="00CD27DA">
        <w:rPr>
          <w:sz w:val="18"/>
          <w:szCs w:val="18"/>
        </w:rPr>
        <w:t xml:space="preserve">Indien de opdrachtnemer aangesloten is bij een </w:t>
      </w:r>
      <w:hyperlink r:id="rId6" w:history="1">
        <w:r w:rsidRPr="00CD27DA">
          <w:rPr>
            <w:rStyle w:val="Hyperlink"/>
            <w:sz w:val="18"/>
            <w:szCs w:val="18"/>
          </w:rPr>
          <w:t>IMVO</w:t>
        </w:r>
        <w:r>
          <w:rPr>
            <w:rStyle w:val="Hyperlink"/>
            <w:sz w:val="18"/>
            <w:szCs w:val="18"/>
          </w:rPr>
          <w:t>-</w:t>
        </w:r>
        <w:r w:rsidRPr="00CD27DA">
          <w:rPr>
            <w:rStyle w:val="Hyperlink"/>
            <w:sz w:val="18"/>
            <w:szCs w:val="18"/>
          </w:rPr>
          <w:t>sectorconvenant</w:t>
        </w:r>
      </w:hyperlink>
      <w:r w:rsidRPr="001F4DB2">
        <w:t>,</w:t>
      </w:r>
      <w:r>
        <w:t xml:space="preserve"> </w:t>
      </w:r>
      <w:r>
        <w:rPr>
          <w:sz w:val="18"/>
          <w:szCs w:val="18"/>
        </w:rPr>
        <w:t>kan dit worden gezien als een actie om de risico’s in zijn keten te verkleinen</w:t>
      </w:r>
      <w:r w:rsidRPr="00CD27DA">
        <w:rPr>
          <w:sz w:val="18"/>
          <w:szCs w:val="18"/>
        </w:rPr>
        <w:t>. De opdrachtnemer kan hier melding van maken</w:t>
      </w:r>
      <w:r>
        <w:rPr>
          <w:sz w:val="18"/>
          <w:szCs w:val="18"/>
        </w:rPr>
        <w:t xml:space="preserve"> in het plan van aanpak</w:t>
      </w:r>
      <w:r w:rsidRPr="00CD27DA">
        <w:rPr>
          <w:sz w:val="18"/>
          <w:szCs w:val="18"/>
        </w:rPr>
        <w:t xml:space="preserve">. Ook wanneer opdrachtnemer is aangesloten bij een keteninitiatief kan dit in het </w:t>
      </w:r>
      <w:r>
        <w:rPr>
          <w:sz w:val="18"/>
          <w:szCs w:val="18"/>
        </w:rPr>
        <w:t xml:space="preserve">plan van aanpak </w:t>
      </w:r>
      <w:r w:rsidRPr="00CD27DA">
        <w:rPr>
          <w:sz w:val="18"/>
          <w:szCs w:val="18"/>
        </w:rPr>
        <w:t xml:space="preserve">gemeld worden. </w:t>
      </w:r>
      <w:r>
        <w:rPr>
          <w:sz w:val="18"/>
          <w:szCs w:val="18"/>
        </w:rPr>
        <w:t xml:space="preserve">Het betekent echter niet dat de opdrachtnemer daarmee aan al zijn </w:t>
      </w:r>
      <w:r w:rsidRPr="00586A4B">
        <w:rPr>
          <w:i/>
          <w:sz w:val="18"/>
          <w:szCs w:val="18"/>
        </w:rPr>
        <w:t>due diligence</w:t>
      </w:r>
      <w:r>
        <w:rPr>
          <w:sz w:val="18"/>
          <w:szCs w:val="18"/>
        </w:rPr>
        <w:t xml:space="preserve"> verplichtingen voldoet. O</w:t>
      </w:r>
      <w:r w:rsidRPr="00CD27DA">
        <w:rPr>
          <w:sz w:val="18"/>
          <w:szCs w:val="18"/>
        </w:rPr>
        <w:t xml:space="preserve">pdrachtnemer </w:t>
      </w:r>
      <w:r>
        <w:rPr>
          <w:sz w:val="18"/>
          <w:szCs w:val="18"/>
        </w:rPr>
        <w:t xml:space="preserve">dient </w:t>
      </w:r>
      <w:r w:rsidRPr="00CD27DA">
        <w:rPr>
          <w:sz w:val="18"/>
          <w:szCs w:val="18"/>
        </w:rPr>
        <w:t xml:space="preserve">te controleren of het keteninitiatief alle risico’s afdekt. </w:t>
      </w:r>
      <w:r>
        <w:rPr>
          <w:sz w:val="18"/>
          <w:szCs w:val="18"/>
        </w:rPr>
        <w:t>Wanneer geconstateerd wordt dat dit niet het geval is, zal de opdrachtnemer in zijn plan van aanpak moeten uitwerken welke inspanningen ten aanzien van de (overgebleven) risico’s</w:t>
      </w:r>
      <w:r w:rsidRPr="00CD27DA">
        <w:rPr>
          <w:sz w:val="18"/>
          <w:szCs w:val="18"/>
        </w:rPr>
        <w:t xml:space="preserve"> </w:t>
      </w:r>
      <w:r>
        <w:rPr>
          <w:sz w:val="18"/>
          <w:szCs w:val="18"/>
        </w:rPr>
        <w:t>geleverd gaan worden om deze te mitigeren.</w:t>
      </w:r>
    </w:p>
    <w:p w:rsidR="00E976BA" w:rsidRPr="00E976BA" w:rsidRDefault="00E976BA" w:rsidP="00E976BA">
      <w:pPr>
        <w:pStyle w:val="Geenafstand"/>
        <w:spacing w:line="0" w:lineRule="atLeast"/>
        <w:ind w:left="1080"/>
        <w:rPr>
          <w:sz w:val="18"/>
          <w:szCs w:val="18"/>
        </w:rPr>
      </w:pPr>
    </w:p>
    <w:p w:rsidR="00E976BA" w:rsidRDefault="00E976BA">
      <w:pPr>
        <w:rPr>
          <w:rFonts w:ascii="Verdana" w:eastAsiaTheme="minorEastAsia" w:hAnsi="Verdana"/>
          <w:sz w:val="18"/>
          <w:u w:val="single"/>
          <w:lang w:eastAsia="nl-NL"/>
        </w:rPr>
      </w:pPr>
      <w:r>
        <w:rPr>
          <w:sz w:val="18"/>
          <w:u w:val="single"/>
        </w:rPr>
        <w:br w:type="page"/>
      </w:r>
    </w:p>
    <w:p w:rsidR="00E976BA" w:rsidRDefault="00E976BA" w:rsidP="00E976BA">
      <w:pPr>
        <w:pStyle w:val="Geenafstand"/>
        <w:numPr>
          <w:ilvl w:val="0"/>
          <w:numId w:val="1"/>
        </w:numPr>
        <w:spacing w:line="0" w:lineRule="atLeast"/>
        <w:ind w:left="284" w:hanging="284"/>
        <w:rPr>
          <w:sz w:val="18"/>
        </w:rPr>
      </w:pPr>
      <w:r w:rsidRPr="004B4964">
        <w:rPr>
          <w:sz w:val="18"/>
          <w:u w:val="single"/>
        </w:rPr>
        <w:lastRenderedPageBreak/>
        <w:t>Jaarlijkse rapportage</w:t>
      </w:r>
      <w:r w:rsidRPr="004B4964">
        <w:rPr>
          <w:sz w:val="18"/>
        </w:rPr>
        <w:t xml:space="preserve"> - gedurende de contractperiode rapporteert de opdrachtnemer </w:t>
      </w:r>
      <w:r w:rsidRPr="004B4964">
        <w:rPr>
          <w:b/>
          <w:sz w:val="18"/>
        </w:rPr>
        <w:t>jaarlijks</w:t>
      </w:r>
      <w:r w:rsidRPr="004B4964">
        <w:rPr>
          <w:sz w:val="18"/>
        </w:rPr>
        <w:t xml:space="preserve"> ten opzichte van de ingangsdatum van de overeenkomst (of in geval van een korter lopende overeenkomst: bij de afronding daarvan) over zijn inzet ten aanzien van het naleven van de ISV. </w:t>
      </w:r>
    </w:p>
    <w:p w:rsidR="00E976BA" w:rsidRPr="004B4964" w:rsidRDefault="00E976BA" w:rsidP="00E976BA">
      <w:pPr>
        <w:pStyle w:val="Geenafstand"/>
        <w:spacing w:line="0" w:lineRule="atLeast"/>
        <w:ind w:left="720"/>
        <w:rPr>
          <w:sz w:val="18"/>
        </w:rPr>
      </w:pPr>
    </w:p>
    <w:p w:rsidR="00E976BA" w:rsidRPr="0081498D" w:rsidRDefault="00E976BA" w:rsidP="00E976BA">
      <w:pPr>
        <w:pStyle w:val="Geenafstand"/>
        <w:spacing w:line="0" w:lineRule="atLeast"/>
        <w:ind w:left="360"/>
        <w:rPr>
          <w:sz w:val="18"/>
        </w:rPr>
      </w:pPr>
      <w:r w:rsidRPr="0081498D">
        <w:rPr>
          <w:sz w:val="18"/>
        </w:rPr>
        <w:t xml:space="preserve">De rapportage moet </w:t>
      </w:r>
      <w:r>
        <w:rPr>
          <w:sz w:val="18"/>
        </w:rPr>
        <w:t xml:space="preserve">tevens gelijktijdig </w:t>
      </w:r>
      <w:r w:rsidRPr="0081498D">
        <w:rPr>
          <w:sz w:val="18"/>
        </w:rPr>
        <w:t>openbaar worden gemaakt</w:t>
      </w:r>
      <w:r>
        <w:rPr>
          <w:sz w:val="18"/>
        </w:rPr>
        <w:t xml:space="preserve">, al dan niet </w:t>
      </w:r>
      <w:r w:rsidRPr="0081498D">
        <w:rPr>
          <w:sz w:val="18"/>
        </w:rPr>
        <w:t xml:space="preserve">als </w:t>
      </w:r>
      <w:r>
        <w:rPr>
          <w:sz w:val="18"/>
        </w:rPr>
        <w:t xml:space="preserve">onderdeel van </w:t>
      </w:r>
      <w:r w:rsidRPr="0081498D">
        <w:rPr>
          <w:sz w:val="18"/>
        </w:rPr>
        <w:t xml:space="preserve">een rapportage die een breder deel van de activiteiten van de opdrachtnemer betreft, zoals een (duurzaamheids)jaarverslag. Openbaarmaking kan worden bereikt door plaatsing op de </w:t>
      </w:r>
      <w:r w:rsidRPr="0047127A">
        <w:rPr>
          <w:sz w:val="18"/>
        </w:rPr>
        <w:t>website van de opdrachtnemer.</w:t>
      </w:r>
      <w:r>
        <w:rPr>
          <w:sz w:val="18"/>
        </w:rPr>
        <w:t xml:space="preserve"> </w:t>
      </w:r>
    </w:p>
    <w:p w:rsidR="00E976BA" w:rsidRPr="0081498D" w:rsidRDefault="00E976BA" w:rsidP="00E976BA">
      <w:pPr>
        <w:pStyle w:val="Geenafstand"/>
        <w:spacing w:line="0" w:lineRule="atLeast"/>
        <w:ind w:left="360"/>
        <w:rPr>
          <w:sz w:val="18"/>
        </w:rPr>
      </w:pPr>
    </w:p>
    <w:p w:rsidR="00E976BA" w:rsidRPr="0081498D" w:rsidRDefault="00E976BA" w:rsidP="00E976BA">
      <w:pPr>
        <w:pStyle w:val="Geenafstand"/>
        <w:spacing w:line="0" w:lineRule="atLeast"/>
        <w:ind w:left="360"/>
        <w:rPr>
          <w:sz w:val="18"/>
        </w:rPr>
      </w:pPr>
      <w:r w:rsidRPr="0081498D">
        <w:rPr>
          <w:sz w:val="18"/>
        </w:rPr>
        <w:t>De rapportage bevat in ieder geval: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e</w:t>
      </w:r>
      <w:r w:rsidRPr="0081498D">
        <w:rPr>
          <w:sz w:val="18"/>
        </w:rPr>
        <w:t>en risicoanalyse</w:t>
      </w:r>
      <w:r>
        <w:rPr>
          <w:sz w:val="18"/>
        </w:rPr>
        <w:t xml:space="preserve"> zoals beschreven onder 1;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d</w:t>
      </w:r>
      <w:r w:rsidRPr="0081498D">
        <w:rPr>
          <w:sz w:val="18"/>
        </w:rPr>
        <w:t>e maatregelen</w:t>
      </w:r>
      <w:r>
        <w:rPr>
          <w:sz w:val="18"/>
        </w:rPr>
        <w:t xml:space="preserve"> die in het jaar waarover gerapporteerd wordt zijn genomen </w:t>
      </w:r>
      <w:r w:rsidRPr="0081498D">
        <w:rPr>
          <w:sz w:val="18"/>
        </w:rPr>
        <w:t xml:space="preserve">om risico’s te verminderen en </w:t>
      </w:r>
      <w:r>
        <w:rPr>
          <w:sz w:val="18"/>
        </w:rPr>
        <w:t xml:space="preserve">eventuele </w:t>
      </w:r>
      <w:r w:rsidRPr="0081498D">
        <w:rPr>
          <w:sz w:val="18"/>
        </w:rPr>
        <w:t>schendingen</w:t>
      </w:r>
      <w:r>
        <w:rPr>
          <w:sz w:val="18"/>
        </w:rPr>
        <w:t xml:space="preserve"> van de ISV in de keten</w:t>
      </w:r>
      <w:r w:rsidRPr="0081498D">
        <w:rPr>
          <w:sz w:val="18"/>
        </w:rPr>
        <w:t xml:space="preserve"> te verhelpen</w:t>
      </w:r>
      <w:r>
        <w:rPr>
          <w:sz w:val="18"/>
        </w:rPr>
        <w:t>;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d</w:t>
      </w:r>
      <w:r w:rsidRPr="0081498D">
        <w:rPr>
          <w:sz w:val="18"/>
        </w:rPr>
        <w:t xml:space="preserve">e aanpak en resultaten van de monitoring op naleving van de </w:t>
      </w:r>
      <w:r>
        <w:rPr>
          <w:sz w:val="18"/>
        </w:rPr>
        <w:t>ISV;</w:t>
      </w:r>
    </w:p>
    <w:p w:rsidR="00E976BA" w:rsidRPr="0081498D" w:rsidRDefault="00E976BA" w:rsidP="00E976BA">
      <w:pPr>
        <w:pStyle w:val="Geenafstand"/>
        <w:numPr>
          <w:ilvl w:val="0"/>
          <w:numId w:val="2"/>
        </w:numPr>
        <w:spacing w:line="0" w:lineRule="atLeast"/>
        <w:ind w:left="567" w:hanging="283"/>
        <w:rPr>
          <w:sz w:val="18"/>
        </w:rPr>
      </w:pPr>
      <w:r>
        <w:rPr>
          <w:sz w:val="18"/>
        </w:rPr>
        <w:t>i</w:t>
      </w:r>
      <w:r w:rsidRPr="0081498D">
        <w:rPr>
          <w:sz w:val="18"/>
        </w:rPr>
        <w:t>nformatie over hoe</w:t>
      </w:r>
      <w:r>
        <w:rPr>
          <w:sz w:val="18"/>
        </w:rPr>
        <w:t xml:space="preserve"> eventueel ontvangen </w:t>
      </w:r>
      <w:r w:rsidRPr="0081498D">
        <w:rPr>
          <w:sz w:val="18"/>
        </w:rPr>
        <w:t xml:space="preserve">signalen </w:t>
      </w:r>
      <w:r>
        <w:rPr>
          <w:sz w:val="18"/>
        </w:rPr>
        <w:t xml:space="preserve">(intern en extern) </w:t>
      </w:r>
      <w:r w:rsidRPr="0081498D">
        <w:rPr>
          <w:sz w:val="18"/>
        </w:rPr>
        <w:t xml:space="preserve">over schending van de </w:t>
      </w:r>
      <w:r>
        <w:rPr>
          <w:sz w:val="18"/>
        </w:rPr>
        <w:t>ISV</w:t>
      </w:r>
      <w:r w:rsidRPr="0081498D">
        <w:rPr>
          <w:sz w:val="18"/>
        </w:rPr>
        <w:t xml:space="preserve"> afgehandeld zijn. </w:t>
      </w:r>
    </w:p>
    <w:p w:rsidR="00E976BA" w:rsidRPr="0081498D" w:rsidRDefault="00E976BA" w:rsidP="00E976BA">
      <w:pPr>
        <w:pStyle w:val="Geenafstand"/>
        <w:spacing w:line="0" w:lineRule="atLeast"/>
        <w:rPr>
          <w:sz w:val="18"/>
        </w:rPr>
      </w:pPr>
    </w:p>
    <w:p w:rsidR="00E976BA" w:rsidRPr="0081498D" w:rsidRDefault="00E976BA" w:rsidP="00E976BA">
      <w:pPr>
        <w:pStyle w:val="Geenafstand"/>
        <w:spacing w:line="0" w:lineRule="atLeast"/>
        <w:ind w:left="360"/>
        <w:rPr>
          <w:sz w:val="18"/>
        </w:rPr>
      </w:pPr>
      <w:r w:rsidRPr="0081498D">
        <w:rPr>
          <w:sz w:val="18"/>
        </w:rPr>
        <w:t xml:space="preserve">De rapportage is vormvrij, maar moet voor de bruikbaarheid </w:t>
      </w:r>
      <w:r>
        <w:rPr>
          <w:sz w:val="18"/>
        </w:rPr>
        <w:t xml:space="preserve">ervan in het </w:t>
      </w:r>
      <w:r w:rsidRPr="0081498D">
        <w:rPr>
          <w:sz w:val="18"/>
        </w:rPr>
        <w:t>Nederlands</w:t>
      </w:r>
      <w:r>
        <w:rPr>
          <w:sz w:val="18"/>
        </w:rPr>
        <w:t>-</w:t>
      </w:r>
      <w:r w:rsidRPr="0081498D">
        <w:rPr>
          <w:sz w:val="18"/>
        </w:rPr>
        <w:t xml:space="preserve"> of Engels</w:t>
      </w:r>
      <w:r>
        <w:rPr>
          <w:sz w:val="18"/>
        </w:rPr>
        <w:t xml:space="preserve"> opgesteld </w:t>
      </w:r>
      <w:r w:rsidRPr="0081498D">
        <w:rPr>
          <w:sz w:val="18"/>
        </w:rPr>
        <w:t xml:space="preserve">zijn. </w:t>
      </w:r>
    </w:p>
    <w:p w:rsidR="00E976BA" w:rsidRDefault="00E976BA" w:rsidP="00E976BA">
      <w:pPr>
        <w:pStyle w:val="Geenafstand"/>
        <w:spacing w:line="0" w:lineRule="atLeast"/>
        <w:rPr>
          <w:b/>
          <w:sz w:val="14"/>
          <w:szCs w:val="18"/>
        </w:rPr>
      </w:pPr>
    </w:p>
    <w:p w:rsidR="00E976BA" w:rsidRDefault="00E976BA" w:rsidP="00E976BA">
      <w:pPr>
        <w:pStyle w:val="Geenafstand"/>
        <w:pBdr>
          <w:bottom w:val="single" w:sz="6" w:space="1" w:color="auto"/>
        </w:pBdr>
        <w:spacing w:line="0" w:lineRule="atLeast"/>
        <w:rPr>
          <w:sz w:val="18"/>
        </w:rPr>
      </w:pPr>
      <w:r>
        <w:rPr>
          <w:sz w:val="18"/>
        </w:rPr>
        <w:br/>
      </w:r>
      <w:r w:rsidRPr="0081498D">
        <w:rPr>
          <w:sz w:val="18"/>
        </w:rPr>
        <w:t xml:space="preserve">Voor meer achtergrondinformatie over </w:t>
      </w:r>
      <w:r>
        <w:rPr>
          <w:sz w:val="18"/>
        </w:rPr>
        <w:t>ISV</w:t>
      </w:r>
      <w:r w:rsidRPr="0081498D">
        <w:rPr>
          <w:sz w:val="18"/>
        </w:rPr>
        <w:t xml:space="preserve"> kunt u de website van </w:t>
      </w:r>
      <w:r>
        <w:rPr>
          <w:sz w:val="18"/>
        </w:rPr>
        <w:t xml:space="preserve">het </w:t>
      </w:r>
      <w:r w:rsidRPr="0081498D">
        <w:rPr>
          <w:sz w:val="18"/>
        </w:rPr>
        <w:t xml:space="preserve">expertisecentrum aanbesteden </w:t>
      </w:r>
      <w:hyperlink r:id="rId7" w:history="1">
        <w:r w:rsidRPr="0081498D">
          <w:rPr>
            <w:rStyle w:val="Hyperlink"/>
            <w:sz w:val="18"/>
          </w:rPr>
          <w:t>PIANOo</w:t>
        </w:r>
      </w:hyperlink>
      <w:r w:rsidRPr="0081498D">
        <w:rPr>
          <w:sz w:val="18"/>
        </w:rPr>
        <w:t xml:space="preserve"> raadplegen</w:t>
      </w:r>
      <w:r w:rsidRPr="0047127A">
        <w:rPr>
          <w:sz w:val="18"/>
        </w:rPr>
        <w:t xml:space="preserve">, zie daar onder meer </w:t>
      </w:r>
      <w:hyperlink r:id="rId8" w:history="1">
        <w:r w:rsidRPr="0047127A">
          <w:rPr>
            <w:rStyle w:val="Hyperlink"/>
            <w:sz w:val="18"/>
          </w:rPr>
          <w:t>https://www.pianoo.nl/document/14142/handreiking-due-diligence-voor-bedrijven</w:t>
        </w:r>
      </w:hyperlink>
      <w:r w:rsidRPr="0047127A">
        <w:rPr>
          <w:sz w:val="18"/>
        </w:rPr>
        <w:t>.</w:t>
      </w:r>
      <w:r w:rsidRPr="0081498D">
        <w:rPr>
          <w:sz w:val="18"/>
        </w:rPr>
        <w:t xml:space="preserve"> </w:t>
      </w:r>
    </w:p>
    <w:p w:rsidR="00E976BA" w:rsidRDefault="00E976BA" w:rsidP="00E976BA">
      <w:pPr>
        <w:pStyle w:val="Geenafstand"/>
        <w:pBdr>
          <w:bottom w:val="single" w:sz="6" w:space="1" w:color="auto"/>
        </w:pBdr>
        <w:spacing w:line="0" w:lineRule="atLeast"/>
        <w:rPr>
          <w:sz w:val="18"/>
        </w:rPr>
      </w:pPr>
    </w:p>
    <w:p w:rsidR="00E976BA" w:rsidRDefault="00E976BA" w:rsidP="00E976BA">
      <w:pPr>
        <w:pStyle w:val="Geenafstand"/>
        <w:pBdr>
          <w:bottom w:val="single" w:sz="6" w:space="1" w:color="auto"/>
        </w:pBdr>
        <w:spacing w:line="0" w:lineRule="atLeast"/>
        <w:rPr>
          <w:sz w:val="18"/>
        </w:rPr>
      </w:pPr>
      <w:r>
        <w:rPr>
          <w:sz w:val="18"/>
        </w:rPr>
        <w:t>M</w:t>
      </w:r>
      <w:r w:rsidRPr="0081498D">
        <w:rPr>
          <w:sz w:val="18"/>
        </w:rPr>
        <w:t xml:space="preserve">ocht u vragen hebben over </w:t>
      </w:r>
      <w:r w:rsidRPr="005250AE">
        <w:rPr>
          <w:i/>
          <w:sz w:val="18"/>
        </w:rPr>
        <w:t>due diligence</w:t>
      </w:r>
      <w:r w:rsidRPr="0081498D">
        <w:rPr>
          <w:sz w:val="18"/>
        </w:rPr>
        <w:t xml:space="preserve"> dan kunt u terecht bij het </w:t>
      </w:r>
      <w:hyperlink r:id="rId9" w:history="1">
        <w:r w:rsidRPr="005250AE">
          <w:rPr>
            <w:rStyle w:val="Hyperlink"/>
            <w:sz w:val="18"/>
          </w:rPr>
          <w:t>Nationaal Contactpunt OESO richtlijnen</w:t>
        </w:r>
      </w:hyperlink>
      <w:r>
        <w:rPr>
          <w:sz w:val="18"/>
        </w:rPr>
        <w:t xml:space="preserve">. </w:t>
      </w:r>
    </w:p>
    <w:p w:rsidR="001E1828" w:rsidRPr="00E976BA" w:rsidRDefault="001E1828" w:rsidP="00E976BA">
      <w:pPr>
        <w:spacing w:after="0" w:line="0" w:lineRule="atLeast"/>
        <w:rPr>
          <w:rFonts w:ascii="Verdana" w:hAnsi="Verdana"/>
          <w:sz w:val="18"/>
          <w:szCs w:val="18"/>
        </w:rPr>
      </w:pPr>
    </w:p>
    <w:sectPr w:rsidR="001E1828" w:rsidRPr="00E9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061"/>
    <w:multiLevelType w:val="hybridMultilevel"/>
    <w:tmpl w:val="2D0223CA"/>
    <w:lvl w:ilvl="0" w:tplc="D334EE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5A6ACB"/>
    <w:multiLevelType w:val="hybridMultilevel"/>
    <w:tmpl w:val="800E2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10015"/>
    <w:multiLevelType w:val="hybridMultilevel"/>
    <w:tmpl w:val="4F46BF4E"/>
    <w:lvl w:ilvl="0" w:tplc="9FD08308"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BA"/>
    <w:rsid w:val="001E1828"/>
    <w:rsid w:val="003E6243"/>
    <w:rsid w:val="00982B0C"/>
    <w:rsid w:val="00AC0A6F"/>
    <w:rsid w:val="00B059CE"/>
    <w:rsid w:val="00E9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28CA"/>
  <w15:docId w15:val="{6CDFA3E2-6AC2-4782-98A2-40AB1757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76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976BA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styleId="Hyperlink">
    <w:name w:val="Hyperlink"/>
    <w:basedOn w:val="Standaardalinea-lettertype"/>
    <w:uiPriority w:val="99"/>
    <w:unhideWhenUsed/>
    <w:rsid w:val="00E976B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7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anoo.nl/document/14142/handreiking-due-diligence-voor-bedrijv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anoo.nl/themas/duurzaam-inkopen/mvi-thema-s/internationale-sociale-voorwaarden/aan-slag-met-internationale-sociale-voorwaar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onderwerpen/internationaal-maatschappelijk-verantwoord-ondernemen-imvo/inhoud/imvo-convenant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vorisicochecker.nl/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esorichtlijnen.nl/ncp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Vliet, van, Mahena</dc:creator>
  <cp:lastModifiedBy>Holsteyn, Jos van</cp:lastModifiedBy>
  <cp:revision>3</cp:revision>
  <dcterms:created xsi:type="dcterms:W3CDTF">2023-08-01T09:49:00Z</dcterms:created>
  <dcterms:modified xsi:type="dcterms:W3CDTF">2023-09-05T12:25:00Z</dcterms:modified>
</cp:coreProperties>
</file>