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7D7C8484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CD75DA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3455D">
        <w:rPr>
          <w:rFonts w:cstheme="minorHAnsi"/>
          <w:i/>
          <w:iCs/>
          <w:color w:val="767171" w:themeColor="background2" w:themeShade="80"/>
        </w:rPr>
        <w:t>Zone.college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61E01EA3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C3455D">
        <w:rPr>
          <w:rFonts w:eastAsia="Calibri" w:cstheme="minorHAnsi"/>
          <w:b/>
          <w:sz w:val="28"/>
          <w:szCs w:val="28"/>
        </w:rPr>
        <w:t>perceel 2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F224" w14:textId="1BEBBC4D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erncompetentie: </w:t>
            </w:r>
          </w:p>
          <w:p w14:paraId="48BF9C53" w14:textId="1A9C63F4" w:rsidR="00C3455D" w:rsidRPr="00C3455D" w:rsidRDefault="00C3455D" w:rsidP="00C3455D">
            <w:pPr>
              <w:contextualSpacing/>
              <w:rPr>
                <w:rFonts w:ascii="Calibri" w:eastAsia="MS Mincho" w:hAnsi="Calibri" w:cs="Calibri"/>
                <w:u w:val="single"/>
              </w:rPr>
            </w:pPr>
            <w:r w:rsidRPr="00C3455D">
              <w:rPr>
                <w:rFonts w:ascii="Calibri" w:eastAsia="MS Mincho" w:hAnsi="Calibri" w:cs="Calibri"/>
              </w:rPr>
              <w:t>Inschrijver heeft ervaring met het ontwikkelen, uitvoeren en evalueren van ten minste 1 campagne en bijbehorende online en offline mediastrategie per jaar voor de arbeidsmarkt gericht op het onderwijs.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54DEF32D" w:rsidR="00276503" w:rsidRPr="001B53D6" w:rsidRDefault="00276503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1B53D6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9ADD977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C3455D">
      <w:rPr>
        <w:noProof/>
        <w:color w:val="FF0000"/>
      </w:rPr>
      <w:drawing>
        <wp:inline distT="0" distB="0" distL="0" distR="0" wp14:anchorId="223C1187" wp14:editId="4438FF7B">
          <wp:extent cx="1638300" cy="371475"/>
          <wp:effectExtent l="0" t="0" r="0" b="9525"/>
          <wp:docPr id="96141335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E7DC2"/>
    <w:multiLevelType w:val="hybridMultilevel"/>
    <w:tmpl w:val="F802F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804076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B53D6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C085E"/>
    <w:rsid w:val="00C31D02"/>
    <w:rsid w:val="00C3455D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853BAE8B-E33C-4017-9257-2C9596791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Celine Gordijn | InkoopMeesters B.V</cp:lastModifiedBy>
  <cp:revision>8</cp:revision>
  <dcterms:created xsi:type="dcterms:W3CDTF">2022-08-05T09:26:00Z</dcterms:created>
  <dcterms:modified xsi:type="dcterms:W3CDTF">2023-10-19T07:05:00Z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