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1EEE8" w14:textId="6AFF1E3E" w:rsidR="0061379D" w:rsidRPr="00D05EE8" w:rsidRDefault="002E1983" w:rsidP="0061379D">
      <w:pPr>
        <w:rPr>
          <w:b/>
          <w:bCs/>
        </w:rPr>
      </w:pPr>
      <w:r>
        <w:rPr>
          <w:b/>
          <w:bCs/>
        </w:rPr>
        <w:t xml:space="preserve">Regeling </w:t>
      </w:r>
      <w:r w:rsidRPr="002E1983">
        <w:rPr>
          <w:b/>
          <w:bCs/>
        </w:rPr>
        <w:t>S</w:t>
      </w:r>
      <w:r>
        <w:rPr>
          <w:b/>
          <w:bCs/>
        </w:rPr>
        <w:t>ocial</w:t>
      </w:r>
      <w:r w:rsidRPr="002E1983">
        <w:rPr>
          <w:b/>
          <w:bCs/>
        </w:rPr>
        <w:t xml:space="preserve"> R</w:t>
      </w:r>
      <w:r>
        <w:rPr>
          <w:b/>
          <w:bCs/>
        </w:rPr>
        <w:t>etrun</w:t>
      </w:r>
    </w:p>
    <w:p w14:paraId="238C1B7B" w14:textId="10381AC4" w:rsidR="0061379D" w:rsidRDefault="00FD6AFA" w:rsidP="0061379D">
      <w:r>
        <w:t>1.1.</w:t>
      </w:r>
      <w:r w:rsidR="0061379D" w:rsidRPr="0061379D">
        <w:t>Door zich</w:t>
      </w:r>
      <w:r w:rsidR="0061379D">
        <w:t xml:space="preserve"> in te schrijven op deze aanbesteding, verplicht de inschrijver zich om bij gunning minimaal </w:t>
      </w:r>
      <w:r w:rsidR="0061379D" w:rsidRPr="000312B9">
        <w:rPr>
          <w:b/>
          <w:bCs/>
        </w:rPr>
        <w:t>2,5%</w:t>
      </w:r>
      <w:r w:rsidR="0061379D">
        <w:t xml:space="preserve"> van de definitieve </w:t>
      </w:r>
      <w:r w:rsidR="002E5587">
        <w:t>opdrachtwaarde</w:t>
      </w:r>
      <w:r w:rsidR="0061379D">
        <w:t xml:space="preserve"> exclusief BTW</w:t>
      </w:r>
      <w:r w:rsidR="002042DC">
        <w:t>,</w:t>
      </w:r>
      <w:r w:rsidR="0061379D">
        <w:t xml:space="preserve"> die hij uit deze opdracht genereert aan te wenden in het kader van Social Return om mensen met afstand tot de arbeidsmarkt concreet toe te leiden naar werk. Mensen met afstand tot de arbeidsmarkt inhoudende uitkeringsgerechtigden die een uitkering genieten op grond van:</w:t>
      </w:r>
    </w:p>
    <w:p w14:paraId="7D503EA0" w14:textId="6048C955" w:rsidR="0061379D" w:rsidRDefault="0061379D" w:rsidP="0061379D">
      <w:pPr>
        <w:pStyle w:val="Lijstalinea"/>
        <w:numPr>
          <w:ilvl w:val="0"/>
          <w:numId w:val="1"/>
        </w:numPr>
      </w:pPr>
      <w:r>
        <w:t>Wet Werk en ar</w:t>
      </w:r>
      <w:r w:rsidR="005F757E">
        <w:t>beidsondersteuning Jonggehandicapten (Wajong)</w:t>
      </w:r>
    </w:p>
    <w:p w14:paraId="6360B890" w14:textId="3AD13C47" w:rsidR="005F757E" w:rsidRDefault="005F757E" w:rsidP="0061379D">
      <w:pPr>
        <w:pStyle w:val="Lijstalinea"/>
        <w:numPr>
          <w:ilvl w:val="0"/>
          <w:numId w:val="1"/>
        </w:numPr>
      </w:pPr>
      <w:r>
        <w:t>Participatiewet</w:t>
      </w:r>
    </w:p>
    <w:p w14:paraId="080242E4" w14:textId="6A46C326" w:rsidR="005F757E" w:rsidRDefault="005F757E" w:rsidP="0061379D">
      <w:pPr>
        <w:pStyle w:val="Lijstalinea"/>
        <w:numPr>
          <w:ilvl w:val="0"/>
          <w:numId w:val="1"/>
        </w:numPr>
      </w:pPr>
      <w:r>
        <w:t>Wet op de Arbeid Ongeschiktheidsverzekering (WAO)</w:t>
      </w:r>
    </w:p>
    <w:p w14:paraId="37B98A0F" w14:textId="6A7DA5FD" w:rsidR="005F757E" w:rsidRDefault="005F757E" w:rsidP="0061379D">
      <w:pPr>
        <w:pStyle w:val="Lijstalinea"/>
        <w:numPr>
          <w:ilvl w:val="0"/>
          <w:numId w:val="1"/>
        </w:numPr>
      </w:pPr>
      <w:r>
        <w:t>Wet Werk en Inkomen naar Arbeidsvermogen (WIA)</w:t>
      </w:r>
    </w:p>
    <w:p w14:paraId="5D99B90D" w14:textId="743E4025" w:rsidR="00FD6AFA" w:rsidRDefault="00FD6AFA" w:rsidP="00FD6AFA">
      <w:pPr>
        <w:pStyle w:val="Lijstalinea"/>
        <w:numPr>
          <w:ilvl w:val="0"/>
          <w:numId w:val="1"/>
        </w:numPr>
      </w:pPr>
      <w:r>
        <w:t>Wet Sociale Werkvoorziening (WSW) of</w:t>
      </w:r>
    </w:p>
    <w:p w14:paraId="422B5D32" w14:textId="77777777" w:rsidR="00036D07" w:rsidRDefault="00FD6AFA" w:rsidP="00FD6AFA">
      <w:pPr>
        <w:pStyle w:val="Lijstalinea"/>
        <w:numPr>
          <w:ilvl w:val="0"/>
          <w:numId w:val="1"/>
        </w:numPr>
      </w:pPr>
      <w:r>
        <w:t>Werkloosheidswet (WW)</w:t>
      </w:r>
    </w:p>
    <w:p w14:paraId="53C88A1F" w14:textId="1B4F097A" w:rsidR="00380AA3" w:rsidRDefault="00FD6AFA" w:rsidP="00036D07">
      <w:r>
        <w:t>1.2. Overige doelgroepen zoals bedoeld in lid 1 worden gelijkgesteld</w:t>
      </w:r>
      <w:r>
        <w:br/>
      </w:r>
      <w:r w:rsidR="00380AA3">
        <w:t xml:space="preserve">a) </w:t>
      </w:r>
      <w:r>
        <w:t xml:space="preserve"> Niet Uitkeringsgerechtigden die zijn geregistreerd als werkeloos</w:t>
      </w:r>
      <w:r w:rsidR="00380AA3">
        <w:br/>
        <w:t>b) BBL- en BOL-leerlingen</w:t>
      </w:r>
    </w:p>
    <w:p w14:paraId="333A4738" w14:textId="6EDA08FD" w:rsidR="00AE3C4A" w:rsidRDefault="00380AA3" w:rsidP="00FD6AFA">
      <w:r>
        <w:t>1.3. De inzet wordt bewerkstelligd door 2,5% van de opdrachtwaarde in te zetten in bijvoorbeeld de vorm van:</w:t>
      </w:r>
      <w:r>
        <w:br/>
        <w:t>a) reguliere werkplekken (direct of indirect)</w:t>
      </w:r>
      <w:r>
        <w:br/>
        <w:t>b) opleidingsplekken</w:t>
      </w:r>
      <w:r>
        <w:br/>
        <w:t>c) leerwerktrajecten (BBL of BOL)</w:t>
      </w:r>
      <w:r>
        <w:br/>
        <w:t>d) dagbesteding</w:t>
      </w:r>
      <w:r>
        <w:br/>
        <w:t>e) werkervaringsplekken</w:t>
      </w:r>
      <w:r>
        <w:br/>
        <w:t>f) stageplaatsen</w:t>
      </w:r>
      <w:r>
        <w:br/>
      </w:r>
      <w:r w:rsidR="00AE3C4A">
        <w:t>g) participatieplaatsen</w:t>
      </w:r>
      <w:r w:rsidR="00AE3C4A">
        <w:br/>
        <w:t>h) en/of combinatievormen z.g. arbeidstoeleidende arrangementen</w:t>
      </w:r>
      <w:r w:rsidR="00AE3C4A">
        <w:br/>
        <w:t>1.4 Om een duurzame plaatsing te bewerkstellingen is het mogelijk om hiervoor de Social Return verplichting – gebaseerd op de contractseis van 2,5% inzet van de opdrachtwaarde in de aanloop naar dit resultaat in te zetten.</w:t>
      </w:r>
      <w:r w:rsidR="00AE3C4A">
        <w:br/>
        <w:t>1.5. De aannemer is verantwoordelijk voor de inzet van de in lid 1 genoemde doelgroepen. De concrete invulling (wat, wie, hoeveel en waar) wordt na gunning vastgelegd in prestatieafspraken</w:t>
      </w:r>
      <w:r w:rsidR="001B0116">
        <w:t xml:space="preserve"> tussen aannemer en opdrachtgever.</w:t>
      </w:r>
      <w:r w:rsidR="001B0116">
        <w:br/>
        <w:t xml:space="preserve">1.6. Indien aannemer zijn verplichting niet nakomt wordt tweemaal het aandeel dat op basis van controles niet is ingezet door aannemer </w:t>
      </w:r>
      <w:r w:rsidR="001B0116" w:rsidRPr="00780381">
        <w:t xml:space="preserve">als </w:t>
      </w:r>
      <w:r w:rsidR="00AD5B2C" w:rsidRPr="00780381">
        <w:t>boete</w:t>
      </w:r>
      <w:r w:rsidR="001B0116">
        <w:t xml:space="preserve"> opgelegd. </w:t>
      </w:r>
      <w:r w:rsidR="001B0116">
        <w:br/>
        <w:t xml:space="preserve">1.7. De aannemer is verplicht om het gestelde in lid 1 uitsluitend te besteden tijdens de uitvoeringsduur van het werk. </w:t>
      </w:r>
      <w:r w:rsidR="001B0116">
        <w:br/>
        <w:t>1.8. De invulling van deze Social Return verplichting kan breder dan enkel op de onderliggende opdracht worden verwezenlijk</w:t>
      </w:r>
      <w:r w:rsidR="00036D07">
        <w:t xml:space="preserve">t en is tevens overdraagbaar, waarbij aannemer te allen tijde verantwoordelijk blijft voor de nakoming. </w:t>
      </w:r>
    </w:p>
    <w:p w14:paraId="195DDB9A" w14:textId="628E3C18" w:rsidR="00A72BC1" w:rsidRDefault="00A72BC1" w:rsidP="00FD6AFA">
      <w:r>
        <w:rPr>
          <w:b/>
          <w:bCs/>
        </w:rPr>
        <w:t>Verantwoording Social Retun 2,5% regeling</w:t>
      </w:r>
      <w:r>
        <w:rPr>
          <w:b/>
          <w:bCs/>
        </w:rPr>
        <w:br/>
      </w:r>
      <w:r>
        <w:t>2.1. Voor het bepalen van de in bepaling 1.1 bedoelde percentage dat door de inzet van de in artikel 1.1. genoemde doelgroepen wordt gerealiseerd gelden de volgende uitgangspunten:</w:t>
      </w:r>
    </w:p>
    <w:p w14:paraId="05A45796" w14:textId="0E1EE1AD" w:rsidR="00A72BC1" w:rsidRDefault="00A72BC1" w:rsidP="00A72BC1">
      <w:pPr>
        <w:pStyle w:val="Lijstalinea"/>
        <w:numPr>
          <w:ilvl w:val="0"/>
          <w:numId w:val="2"/>
        </w:numPr>
      </w:pPr>
      <w:r>
        <w:lastRenderedPageBreak/>
        <w:t>De aannemer dient op aanvraag een kopie van de arbeidsovereenkomst- of leerwerkstageovereenkomst te overleg</w:t>
      </w:r>
      <w:r w:rsidR="00EA300D">
        <w:t>g</w:t>
      </w:r>
      <w:r>
        <w:t>en met daarin informatie over de looptijd en het aantal te werken uren.</w:t>
      </w:r>
    </w:p>
    <w:p w14:paraId="68F5D561" w14:textId="0D6B8BE4" w:rsidR="00A72BC1" w:rsidRDefault="00C66D60" w:rsidP="00A72BC1">
      <w:pPr>
        <w:pStyle w:val="Lijstalinea"/>
        <w:numPr>
          <w:ilvl w:val="0"/>
          <w:numId w:val="2"/>
        </w:numPr>
      </w:pPr>
      <w:r>
        <w:t>Scholing en opleidingen in het kader van Social Return dienen te worden verschaft door een erkend opleidingsbedrijf</w:t>
      </w:r>
    </w:p>
    <w:p w14:paraId="71E2714F" w14:textId="6100F203" w:rsidR="00C66D60" w:rsidRDefault="00C66D60" w:rsidP="00A72BC1">
      <w:pPr>
        <w:pStyle w:val="Lijstalinea"/>
        <w:numPr>
          <w:ilvl w:val="0"/>
          <w:numId w:val="2"/>
        </w:numPr>
      </w:pPr>
      <w:r>
        <w:t>Kosten in het kader van scholing en begeleidingen dienen deugdelijk onderbouwd te worden met gedetailleerde nota’s, salarisstroken en/of facturen. In geval van interne scholing dienen de gemaakte kosten schriftelijk (in het kader van bewijsvoering) te worden onderbouwd.</w:t>
      </w:r>
    </w:p>
    <w:p w14:paraId="7C513C9F" w14:textId="247A75F6" w:rsidR="00C66D60" w:rsidRDefault="00C66D60" w:rsidP="00A72BC1">
      <w:pPr>
        <w:pStyle w:val="Lijstalinea"/>
        <w:numPr>
          <w:ilvl w:val="0"/>
          <w:numId w:val="2"/>
        </w:numPr>
      </w:pPr>
      <w:r>
        <w:t>De inschaling van de genoemde doelgroepen geschiedt conform de geldende CAO, bij het bedrijf zelf of – indien de kandidaat elders wordt geplaatst, bij een andere werkgever.</w:t>
      </w:r>
    </w:p>
    <w:p w14:paraId="090C216F" w14:textId="79B81ABB" w:rsidR="00C66D60" w:rsidRDefault="00C66D60" w:rsidP="00A72BC1">
      <w:pPr>
        <w:pStyle w:val="Lijstalinea"/>
        <w:numPr>
          <w:ilvl w:val="0"/>
          <w:numId w:val="2"/>
        </w:numPr>
      </w:pPr>
      <w:r>
        <w:t>Aannemer dient in het kader van het plaatsen van de doelgroep geen gebruik te maken van subsidies of overige premies. Eventuele subsidies of overige premies ontvangen voor inzet van de doelgroep worden afgetrokken op het bedrag te voldoen aan Social Return</w:t>
      </w:r>
    </w:p>
    <w:p w14:paraId="26E67D3C" w14:textId="54C3323E" w:rsidR="00C66D60" w:rsidRDefault="00EA300D" w:rsidP="00A72BC1">
      <w:pPr>
        <w:pStyle w:val="Lijstalinea"/>
        <w:numPr>
          <w:ilvl w:val="0"/>
          <w:numId w:val="2"/>
        </w:numPr>
      </w:pPr>
      <w:r>
        <w:t>Voor onderbouwing kosten kan gebruik gemaakt worden van bouwblokmethode</w:t>
      </w:r>
      <w:r w:rsidR="00B82283">
        <w:t xml:space="preserve"> die door de gemeente Gennep wordt gehanteerd</w:t>
      </w:r>
    </w:p>
    <w:tbl>
      <w:tblPr>
        <w:tblStyle w:val="Tabelraster"/>
        <w:tblW w:w="0" w:type="auto"/>
        <w:tblLook w:val="04A0" w:firstRow="1" w:lastRow="0" w:firstColumn="1" w:lastColumn="0" w:noHBand="0" w:noVBand="1"/>
      </w:tblPr>
      <w:tblGrid>
        <w:gridCol w:w="2265"/>
        <w:gridCol w:w="2265"/>
        <w:gridCol w:w="2266"/>
        <w:gridCol w:w="2266"/>
      </w:tblGrid>
      <w:tr w:rsidR="00C360B7" w14:paraId="3C6B41AA" w14:textId="77777777" w:rsidTr="00C360B7">
        <w:tc>
          <w:tcPr>
            <w:tcW w:w="2265" w:type="dxa"/>
          </w:tcPr>
          <w:p w14:paraId="3281C8DF" w14:textId="6BF0507A" w:rsidR="00C360B7" w:rsidRDefault="00C360B7" w:rsidP="00C360B7">
            <w:r>
              <w:t xml:space="preserve">Categorie arbeidsparticipatie </w:t>
            </w:r>
          </w:p>
        </w:tc>
        <w:tc>
          <w:tcPr>
            <w:tcW w:w="2265" w:type="dxa"/>
          </w:tcPr>
          <w:p w14:paraId="3803D759" w14:textId="54B77D7D" w:rsidR="00C360B7" w:rsidRDefault="00CF123D" w:rsidP="00CF123D">
            <w:r>
              <w:t xml:space="preserve">Normbedrag FT (36 uur) </w:t>
            </w:r>
            <w:r w:rsidR="00C360B7">
              <w:t xml:space="preserve">op jaarbasis </w:t>
            </w:r>
          </w:p>
        </w:tc>
        <w:tc>
          <w:tcPr>
            <w:tcW w:w="2266" w:type="dxa"/>
          </w:tcPr>
          <w:p w14:paraId="06693DFD" w14:textId="25C4FAFA" w:rsidR="00C360B7" w:rsidRDefault="00CF123D" w:rsidP="00CF123D">
            <w:r>
              <w:t>Kandidaat telt mee</w:t>
            </w:r>
          </w:p>
        </w:tc>
        <w:tc>
          <w:tcPr>
            <w:tcW w:w="2266" w:type="dxa"/>
          </w:tcPr>
          <w:p w14:paraId="0E7BBF6C" w14:textId="5FF853E6" w:rsidR="00C360B7" w:rsidRDefault="00CF123D" w:rsidP="00CF123D">
            <w:r>
              <w:t xml:space="preserve">Jaartarief omgerekend naar uurtarief  </w:t>
            </w:r>
          </w:p>
        </w:tc>
      </w:tr>
      <w:tr w:rsidR="00C360B7" w14:paraId="54457370" w14:textId="77777777" w:rsidTr="00C360B7">
        <w:tc>
          <w:tcPr>
            <w:tcW w:w="2265" w:type="dxa"/>
          </w:tcPr>
          <w:p w14:paraId="79C2EFC5" w14:textId="2B55CB5D" w:rsidR="00C360B7" w:rsidRDefault="00CF123D" w:rsidP="00C360B7">
            <w:r>
              <w:t>Participatiewet (niet arbeidsbeperkt)</w:t>
            </w:r>
          </w:p>
        </w:tc>
        <w:tc>
          <w:tcPr>
            <w:tcW w:w="2265" w:type="dxa"/>
          </w:tcPr>
          <w:p w14:paraId="467550AD" w14:textId="26820AD3" w:rsidR="00C360B7" w:rsidRDefault="00CF123D" w:rsidP="00CF123D">
            <w:r>
              <w:t xml:space="preserve">€ 35.000 </w:t>
            </w:r>
          </w:p>
        </w:tc>
        <w:tc>
          <w:tcPr>
            <w:tcW w:w="2266" w:type="dxa"/>
          </w:tcPr>
          <w:p w14:paraId="1DA4DD48" w14:textId="76A96651" w:rsidR="00C360B7" w:rsidRDefault="00CF123D" w:rsidP="00C360B7">
            <w:r>
              <w:t>1 jaar</w:t>
            </w:r>
          </w:p>
        </w:tc>
        <w:tc>
          <w:tcPr>
            <w:tcW w:w="2266" w:type="dxa"/>
          </w:tcPr>
          <w:p w14:paraId="58C9E43A" w14:textId="4C10405D" w:rsidR="00C360B7" w:rsidRDefault="00CF123D" w:rsidP="00C360B7">
            <w:r>
              <w:t>€ 23,92</w:t>
            </w:r>
          </w:p>
        </w:tc>
      </w:tr>
      <w:tr w:rsidR="00C360B7" w14:paraId="7C198B13" w14:textId="77777777" w:rsidTr="00C360B7">
        <w:tc>
          <w:tcPr>
            <w:tcW w:w="2265" w:type="dxa"/>
          </w:tcPr>
          <w:p w14:paraId="076A7EE3" w14:textId="17C602C1" w:rsidR="00C360B7" w:rsidRDefault="008D1C5F" w:rsidP="00C360B7">
            <w:r>
              <w:t>WSW detachering</w:t>
            </w:r>
          </w:p>
        </w:tc>
        <w:tc>
          <w:tcPr>
            <w:tcW w:w="2265" w:type="dxa"/>
          </w:tcPr>
          <w:p w14:paraId="1B926CDC" w14:textId="01214629" w:rsidR="00C360B7" w:rsidRDefault="008D1C5F" w:rsidP="008D1C5F">
            <w:r>
              <w:t xml:space="preserve">€ 30.000 </w:t>
            </w:r>
          </w:p>
        </w:tc>
        <w:tc>
          <w:tcPr>
            <w:tcW w:w="2266" w:type="dxa"/>
          </w:tcPr>
          <w:p w14:paraId="5B66F5B5" w14:textId="72DA40E7" w:rsidR="00C360B7" w:rsidRDefault="008D1C5F" w:rsidP="00C360B7">
            <w:r>
              <w:t>5 jaar</w:t>
            </w:r>
          </w:p>
        </w:tc>
        <w:tc>
          <w:tcPr>
            <w:tcW w:w="2266" w:type="dxa"/>
          </w:tcPr>
          <w:p w14:paraId="17ED0D07" w14:textId="0B240D5C" w:rsidR="00C360B7" w:rsidRDefault="008D1C5F" w:rsidP="00C360B7">
            <w:r>
              <w:t>€ 20,51</w:t>
            </w:r>
          </w:p>
        </w:tc>
      </w:tr>
      <w:tr w:rsidR="00C360B7" w14:paraId="160E612F" w14:textId="77777777" w:rsidTr="00C360B7">
        <w:tc>
          <w:tcPr>
            <w:tcW w:w="2265" w:type="dxa"/>
          </w:tcPr>
          <w:p w14:paraId="7AF94751" w14:textId="48F214B4" w:rsidR="00C360B7" w:rsidRDefault="008D1C5F" w:rsidP="00C360B7">
            <w:r>
              <w:t>WSW-er in dienst nemen</w:t>
            </w:r>
          </w:p>
        </w:tc>
        <w:tc>
          <w:tcPr>
            <w:tcW w:w="2265" w:type="dxa"/>
          </w:tcPr>
          <w:p w14:paraId="4831F286" w14:textId="02553772" w:rsidR="00C360B7" w:rsidRDefault="008D1C5F" w:rsidP="008D1C5F">
            <w:r>
              <w:t xml:space="preserve">€ 35.000 </w:t>
            </w:r>
          </w:p>
        </w:tc>
        <w:tc>
          <w:tcPr>
            <w:tcW w:w="2266" w:type="dxa"/>
          </w:tcPr>
          <w:p w14:paraId="3F31E183" w14:textId="2104F0F8" w:rsidR="00C360B7" w:rsidRDefault="008D1C5F" w:rsidP="00C360B7">
            <w:r>
              <w:t>altijd</w:t>
            </w:r>
          </w:p>
        </w:tc>
        <w:tc>
          <w:tcPr>
            <w:tcW w:w="2266" w:type="dxa"/>
          </w:tcPr>
          <w:p w14:paraId="77A52877" w14:textId="283F52FD" w:rsidR="00C360B7" w:rsidRDefault="008D1C5F" w:rsidP="008D1C5F">
            <w:r>
              <w:t xml:space="preserve">€ 23,92 </w:t>
            </w:r>
          </w:p>
        </w:tc>
      </w:tr>
      <w:tr w:rsidR="00C360B7" w14:paraId="3051E175" w14:textId="77777777" w:rsidTr="00C360B7">
        <w:tc>
          <w:tcPr>
            <w:tcW w:w="2265" w:type="dxa"/>
          </w:tcPr>
          <w:p w14:paraId="40B2F69B" w14:textId="263551C0" w:rsidR="00C360B7" w:rsidRDefault="008D1C5F" w:rsidP="00C360B7">
            <w:r>
              <w:t>Wajong (UWV)</w:t>
            </w:r>
          </w:p>
        </w:tc>
        <w:tc>
          <w:tcPr>
            <w:tcW w:w="2265" w:type="dxa"/>
          </w:tcPr>
          <w:p w14:paraId="2CAB6A6E" w14:textId="046F9ABB" w:rsidR="00C360B7" w:rsidRDefault="008D1C5F" w:rsidP="00C360B7">
            <w:r>
              <w:t xml:space="preserve">€ 35.000 </w:t>
            </w:r>
          </w:p>
        </w:tc>
        <w:tc>
          <w:tcPr>
            <w:tcW w:w="2266" w:type="dxa"/>
          </w:tcPr>
          <w:p w14:paraId="471EDACC" w14:textId="488FAC4F" w:rsidR="00C360B7" w:rsidRDefault="008D1C5F" w:rsidP="00C360B7">
            <w:r>
              <w:t>altijd</w:t>
            </w:r>
          </w:p>
        </w:tc>
        <w:tc>
          <w:tcPr>
            <w:tcW w:w="2266" w:type="dxa"/>
          </w:tcPr>
          <w:p w14:paraId="05BC9FFA" w14:textId="1FC28F04" w:rsidR="00C360B7" w:rsidRDefault="003914D3" w:rsidP="003860F2">
            <w:r>
              <w:t xml:space="preserve">zo lang indicatie geldt € 23,95 </w:t>
            </w:r>
          </w:p>
        </w:tc>
      </w:tr>
      <w:tr w:rsidR="00C360B7" w14:paraId="2A032926" w14:textId="77777777" w:rsidTr="00C360B7">
        <w:tc>
          <w:tcPr>
            <w:tcW w:w="2265" w:type="dxa"/>
          </w:tcPr>
          <w:p w14:paraId="504322B7" w14:textId="38274729" w:rsidR="00C360B7" w:rsidRDefault="003914D3" w:rsidP="00C360B7">
            <w:r>
              <w:t>Arbeids-beperkten (garantiebanen)</w:t>
            </w:r>
          </w:p>
        </w:tc>
        <w:tc>
          <w:tcPr>
            <w:tcW w:w="2265" w:type="dxa"/>
          </w:tcPr>
          <w:p w14:paraId="3A979ED2" w14:textId="23830044" w:rsidR="00C360B7" w:rsidRDefault="003914D3" w:rsidP="00C360B7">
            <w:r>
              <w:t xml:space="preserve">€ 35.000 </w:t>
            </w:r>
          </w:p>
        </w:tc>
        <w:tc>
          <w:tcPr>
            <w:tcW w:w="2266" w:type="dxa"/>
          </w:tcPr>
          <w:p w14:paraId="65B4BE0C" w14:textId="73AE04C5" w:rsidR="00C360B7" w:rsidRDefault="003914D3" w:rsidP="00C360B7">
            <w:r>
              <w:t>altijd</w:t>
            </w:r>
          </w:p>
        </w:tc>
        <w:tc>
          <w:tcPr>
            <w:tcW w:w="2266" w:type="dxa"/>
          </w:tcPr>
          <w:p w14:paraId="61EBB171" w14:textId="26715987" w:rsidR="00C360B7" w:rsidRDefault="003914D3" w:rsidP="00C360B7">
            <w:r>
              <w:t xml:space="preserve">zo lang indicatie geldt € 23,95 </w:t>
            </w:r>
          </w:p>
        </w:tc>
      </w:tr>
      <w:tr w:rsidR="00C360B7" w14:paraId="79EBD409" w14:textId="77777777" w:rsidTr="00C360B7">
        <w:tc>
          <w:tcPr>
            <w:tcW w:w="2265" w:type="dxa"/>
          </w:tcPr>
          <w:p w14:paraId="564E5C43" w14:textId="23495B80" w:rsidR="00C360B7" w:rsidRDefault="003914D3" w:rsidP="00C360B7">
            <w:r>
              <w:t>WIA/WAO bij nieuwe werkgever</w:t>
            </w:r>
          </w:p>
        </w:tc>
        <w:tc>
          <w:tcPr>
            <w:tcW w:w="2265" w:type="dxa"/>
          </w:tcPr>
          <w:p w14:paraId="17365ECB" w14:textId="021302AD" w:rsidR="00C360B7" w:rsidRDefault="003914D3" w:rsidP="00C360B7">
            <w:r>
              <w:t xml:space="preserve">€ 30.000 </w:t>
            </w:r>
          </w:p>
        </w:tc>
        <w:tc>
          <w:tcPr>
            <w:tcW w:w="2266" w:type="dxa"/>
          </w:tcPr>
          <w:p w14:paraId="1BDF4D2B" w14:textId="3DA7AE46" w:rsidR="00C360B7" w:rsidRDefault="003914D3" w:rsidP="00C360B7">
            <w:r>
              <w:t>3 jaar</w:t>
            </w:r>
          </w:p>
        </w:tc>
        <w:tc>
          <w:tcPr>
            <w:tcW w:w="2266" w:type="dxa"/>
          </w:tcPr>
          <w:p w14:paraId="60A01FAB" w14:textId="2E5A542E" w:rsidR="00C360B7" w:rsidRDefault="003914D3" w:rsidP="00C360B7">
            <w:r>
              <w:t>€ 20,51</w:t>
            </w:r>
          </w:p>
        </w:tc>
      </w:tr>
      <w:tr w:rsidR="00C360B7" w14:paraId="6233AC56" w14:textId="77777777" w:rsidTr="00C360B7">
        <w:tc>
          <w:tcPr>
            <w:tcW w:w="2265" w:type="dxa"/>
          </w:tcPr>
          <w:p w14:paraId="67325334" w14:textId="42AC314F" w:rsidR="00C360B7" w:rsidRDefault="003914D3" w:rsidP="00C360B7">
            <w:r w:rsidRPr="00780381">
              <w:t>WW</w:t>
            </w:r>
            <w:r>
              <w:t xml:space="preserve"> </w:t>
            </w:r>
          </w:p>
        </w:tc>
        <w:tc>
          <w:tcPr>
            <w:tcW w:w="2265" w:type="dxa"/>
          </w:tcPr>
          <w:p w14:paraId="10AEEE80" w14:textId="45560BCC" w:rsidR="00C360B7" w:rsidRDefault="003914D3" w:rsidP="00C360B7">
            <w:r>
              <w:t>€ 15.000</w:t>
            </w:r>
          </w:p>
        </w:tc>
        <w:tc>
          <w:tcPr>
            <w:tcW w:w="2266" w:type="dxa"/>
          </w:tcPr>
          <w:p w14:paraId="22005A9A" w14:textId="2071B18C" w:rsidR="00C360B7" w:rsidRDefault="003914D3" w:rsidP="00C360B7">
            <w:r>
              <w:t xml:space="preserve">1 jaar </w:t>
            </w:r>
          </w:p>
        </w:tc>
        <w:tc>
          <w:tcPr>
            <w:tcW w:w="2266" w:type="dxa"/>
          </w:tcPr>
          <w:p w14:paraId="02A07EF8" w14:textId="44B50992" w:rsidR="00C360B7" w:rsidRDefault="003914D3" w:rsidP="00C360B7">
            <w:r>
              <w:t>€ 10,25</w:t>
            </w:r>
          </w:p>
        </w:tc>
      </w:tr>
      <w:tr w:rsidR="00C360B7" w14:paraId="6C0CC75C" w14:textId="77777777" w:rsidTr="00C360B7">
        <w:tc>
          <w:tcPr>
            <w:tcW w:w="2265" w:type="dxa"/>
          </w:tcPr>
          <w:p w14:paraId="73673A94" w14:textId="42F432AC" w:rsidR="00C360B7" w:rsidRDefault="00E706CC" w:rsidP="00C360B7">
            <w:r w:rsidRPr="00780381">
              <w:t>BBL leerwerkplek</w:t>
            </w:r>
            <w:r w:rsidR="00780381">
              <w:t>, waarbij niveau 1 of 2 gewenst is</w:t>
            </w:r>
          </w:p>
        </w:tc>
        <w:tc>
          <w:tcPr>
            <w:tcW w:w="2265" w:type="dxa"/>
          </w:tcPr>
          <w:p w14:paraId="5A3F40B7" w14:textId="688130ED" w:rsidR="00C360B7" w:rsidRDefault="00E706CC" w:rsidP="00C360B7">
            <w:r>
              <w:t xml:space="preserve">€ 10.000 </w:t>
            </w:r>
          </w:p>
        </w:tc>
        <w:tc>
          <w:tcPr>
            <w:tcW w:w="2266" w:type="dxa"/>
          </w:tcPr>
          <w:p w14:paraId="47A29D8C" w14:textId="45EC69FD" w:rsidR="00C360B7" w:rsidRDefault="00E706CC" w:rsidP="00C360B7">
            <w:r>
              <w:t xml:space="preserve">duur opleiding/stage </w:t>
            </w:r>
          </w:p>
        </w:tc>
        <w:tc>
          <w:tcPr>
            <w:tcW w:w="2266" w:type="dxa"/>
          </w:tcPr>
          <w:p w14:paraId="4482E15F" w14:textId="19AAF9FC" w:rsidR="00C360B7" w:rsidRDefault="00E706CC" w:rsidP="00C360B7">
            <w:r>
              <w:t>n.v.t.</w:t>
            </w:r>
          </w:p>
        </w:tc>
      </w:tr>
      <w:tr w:rsidR="00C360B7" w14:paraId="184C86B4" w14:textId="77777777" w:rsidTr="00C360B7">
        <w:tc>
          <w:tcPr>
            <w:tcW w:w="2265" w:type="dxa"/>
          </w:tcPr>
          <w:p w14:paraId="41490A0F" w14:textId="0B046686" w:rsidR="00C360B7" w:rsidRDefault="00E706CC" w:rsidP="00C360B7">
            <w:r>
              <w:t>BOL / overige stage</w:t>
            </w:r>
          </w:p>
        </w:tc>
        <w:tc>
          <w:tcPr>
            <w:tcW w:w="2265" w:type="dxa"/>
          </w:tcPr>
          <w:p w14:paraId="2A13C22F" w14:textId="48CCF900" w:rsidR="00C360B7" w:rsidRDefault="00E706CC" w:rsidP="00C360B7">
            <w:r>
              <w:t xml:space="preserve">€ 5.000 </w:t>
            </w:r>
          </w:p>
        </w:tc>
        <w:tc>
          <w:tcPr>
            <w:tcW w:w="2266" w:type="dxa"/>
          </w:tcPr>
          <w:p w14:paraId="530D4BA8" w14:textId="47644B4A" w:rsidR="00C360B7" w:rsidRDefault="00E706CC" w:rsidP="00E706CC">
            <w:r>
              <w:t>duur stage max. stagetermijn 3 mnd</w:t>
            </w:r>
          </w:p>
        </w:tc>
        <w:tc>
          <w:tcPr>
            <w:tcW w:w="2266" w:type="dxa"/>
          </w:tcPr>
          <w:p w14:paraId="401C49EB" w14:textId="54CDF178" w:rsidR="00C360B7" w:rsidRDefault="00E706CC" w:rsidP="00C360B7">
            <w:r>
              <w:t xml:space="preserve">n.v.t.  </w:t>
            </w:r>
          </w:p>
        </w:tc>
      </w:tr>
      <w:tr w:rsidR="00C360B7" w14:paraId="5E96935D" w14:textId="77777777" w:rsidTr="00C360B7">
        <w:tc>
          <w:tcPr>
            <w:tcW w:w="2265" w:type="dxa"/>
          </w:tcPr>
          <w:p w14:paraId="4AD8620F" w14:textId="200FD837" w:rsidR="00C360B7" w:rsidRDefault="00E706CC" w:rsidP="00C360B7">
            <w:r>
              <w:t>Stage VSO en praktijkonderwijs</w:t>
            </w:r>
          </w:p>
        </w:tc>
        <w:tc>
          <w:tcPr>
            <w:tcW w:w="2265" w:type="dxa"/>
          </w:tcPr>
          <w:p w14:paraId="6A36BBE7" w14:textId="3A44E2FE" w:rsidR="00C360B7" w:rsidRDefault="00EE2107" w:rsidP="00C360B7">
            <w:r w:rsidRPr="00780381">
              <w:t>€ 5.000</w:t>
            </w:r>
          </w:p>
        </w:tc>
        <w:tc>
          <w:tcPr>
            <w:tcW w:w="2266" w:type="dxa"/>
          </w:tcPr>
          <w:p w14:paraId="50D380AE" w14:textId="005E1753" w:rsidR="00C360B7" w:rsidRDefault="00EE2107" w:rsidP="00EE2107">
            <w:r>
              <w:t>duur stage ongeveer 300 uur</w:t>
            </w:r>
            <w:r w:rsidR="003E5CD8">
              <w:t xml:space="preserve"> </w:t>
            </w:r>
            <w:r w:rsidR="003E5CD8" w:rsidRPr="00780381">
              <w:t xml:space="preserve">en/of </w:t>
            </w:r>
            <w:r w:rsidR="003E5CD8" w:rsidRPr="00780381">
              <w:lastRenderedPageBreak/>
              <w:t>afhankelijk van de opdracht</w:t>
            </w:r>
          </w:p>
        </w:tc>
        <w:tc>
          <w:tcPr>
            <w:tcW w:w="2266" w:type="dxa"/>
          </w:tcPr>
          <w:p w14:paraId="5CFC8566" w14:textId="0293B21A" w:rsidR="00C360B7" w:rsidRDefault="00EE2107" w:rsidP="00C360B7">
            <w:r>
              <w:lastRenderedPageBreak/>
              <w:t>N.v.t.</w:t>
            </w:r>
          </w:p>
        </w:tc>
      </w:tr>
      <w:tr w:rsidR="00C360B7" w14:paraId="1E2D30B7" w14:textId="77777777" w:rsidTr="00D867FA">
        <w:trPr>
          <w:trHeight w:val="1798"/>
        </w:trPr>
        <w:tc>
          <w:tcPr>
            <w:tcW w:w="2265" w:type="dxa"/>
          </w:tcPr>
          <w:p w14:paraId="51A0338C" w14:textId="756CAED8" w:rsidR="00C360B7" w:rsidRDefault="00EE2107" w:rsidP="00EE2107">
            <w:r>
              <w:t>Werkstage (WEP) voor Participatiewet en arbeidsbeperkte</w:t>
            </w:r>
            <w:r w:rsidR="003860F2">
              <w:t>n</w:t>
            </w:r>
          </w:p>
        </w:tc>
        <w:tc>
          <w:tcPr>
            <w:tcW w:w="2265" w:type="dxa"/>
          </w:tcPr>
          <w:p w14:paraId="09E656C2" w14:textId="1980E8EA" w:rsidR="00C360B7" w:rsidRDefault="00EE2107" w:rsidP="00C360B7">
            <w:r>
              <w:t>€ 2.500</w:t>
            </w:r>
          </w:p>
        </w:tc>
        <w:tc>
          <w:tcPr>
            <w:tcW w:w="2266" w:type="dxa"/>
          </w:tcPr>
          <w:p w14:paraId="649AFC3C" w14:textId="27FF05E5" w:rsidR="00C360B7" w:rsidRDefault="00EE2107" w:rsidP="00C360B7">
            <w:r>
              <w:t>zo lang WEP duurt</w:t>
            </w:r>
          </w:p>
        </w:tc>
        <w:tc>
          <w:tcPr>
            <w:tcW w:w="2266" w:type="dxa"/>
          </w:tcPr>
          <w:p w14:paraId="28CB66A3" w14:textId="05F55729" w:rsidR="00C360B7" w:rsidRDefault="00EE2107" w:rsidP="003860F2">
            <w:r>
              <w:t xml:space="preserve">€ 1,71 Extra waardering bij arbeidsparticipatie </w:t>
            </w:r>
          </w:p>
        </w:tc>
      </w:tr>
      <w:tr w:rsidR="00C360B7" w14:paraId="4B913957" w14:textId="77777777" w:rsidTr="00C360B7">
        <w:tc>
          <w:tcPr>
            <w:tcW w:w="2265" w:type="dxa"/>
          </w:tcPr>
          <w:p w14:paraId="46B2AA7B" w14:textId="2514A038" w:rsidR="00C360B7" w:rsidRDefault="00D867FA" w:rsidP="00D867FA">
            <w:r>
              <w:t xml:space="preserve">Kandidaten van 57 jaar en ouder   </w:t>
            </w:r>
          </w:p>
        </w:tc>
        <w:tc>
          <w:tcPr>
            <w:tcW w:w="2265" w:type="dxa"/>
          </w:tcPr>
          <w:p w14:paraId="4F430DE5" w14:textId="6ED05B68" w:rsidR="00C360B7" w:rsidRDefault="00D867FA" w:rsidP="00D867FA">
            <w:r>
              <w:t>€ 10.000  bovenop bovenstaande bedragen</w:t>
            </w:r>
          </w:p>
        </w:tc>
        <w:tc>
          <w:tcPr>
            <w:tcW w:w="2266" w:type="dxa"/>
          </w:tcPr>
          <w:p w14:paraId="5A78E288" w14:textId="6D9E7235" w:rsidR="00C360B7" w:rsidRDefault="00D867FA" w:rsidP="00D867FA">
            <w:r>
              <w:t xml:space="preserve">altijd </w:t>
            </w:r>
          </w:p>
        </w:tc>
        <w:tc>
          <w:tcPr>
            <w:tcW w:w="2266" w:type="dxa"/>
          </w:tcPr>
          <w:p w14:paraId="72904E31" w14:textId="77777777" w:rsidR="00D867FA" w:rsidRPr="00A72BC1" w:rsidRDefault="00D867FA" w:rsidP="00D867FA">
            <w:r>
              <w:t>€ 6,83</w:t>
            </w:r>
          </w:p>
          <w:p w14:paraId="6A975B2A" w14:textId="77777777" w:rsidR="00C360B7" w:rsidRDefault="00C360B7" w:rsidP="00C360B7"/>
        </w:tc>
      </w:tr>
    </w:tbl>
    <w:p w14:paraId="143E9073" w14:textId="77777777" w:rsidR="00C360B7" w:rsidRDefault="00C360B7" w:rsidP="00C360B7"/>
    <w:p w14:paraId="211D0044" w14:textId="5EF38AB8" w:rsidR="008A7B84" w:rsidRDefault="008A7B84" w:rsidP="008A7B84">
      <w:r>
        <w:t xml:space="preserve">Daarbij geldt dat:  </w:t>
      </w:r>
    </w:p>
    <w:p w14:paraId="24EA3756" w14:textId="4E47B6A5" w:rsidR="000430C9" w:rsidRDefault="008A7B84" w:rsidP="000430C9">
      <w:r>
        <w:t xml:space="preserve">• Kandidaten tellen alleen mee als zij werkzaamheden verrichten die een relatie hebben met de uitvoering van de opdracht. </w:t>
      </w:r>
      <w:r>
        <w:br/>
        <w:t xml:space="preserve">• Het betreft een nieuwe, aanvullende activiteit, waardoor alleen de inzet van nieuwe kandidaten meetelt voor social return; </w:t>
      </w:r>
      <w:r>
        <w:br/>
        <w:t xml:space="preserve">• Het is niet toegestaan om kandidaten die in andere gemeenten zijn meegerekend voor de invulling van een social return-verplichting, opnieuw mee te rekenen.  </w:t>
      </w:r>
      <w:r>
        <w:br/>
        <w:t xml:space="preserve">• De tarieven zijn all-inclusive en op basis van een fulltime dienstverband. Dat betekent dat de tarieven inclusief begeleidingskosten en werkgeverslasten zijn en gebaseerd op een fulltime dienstverband van 1.463 uur. Een uitzondering betreft BBL, omdat deze leerlingen 32 uur per week werken en 1 dag per week naar school gaan. De bouwblokken kunnen gestapeld worden. </w:t>
      </w:r>
      <w:r w:rsidR="000430C9">
        <w:br/>
      </w:r>
      <w:r>
        <w:t xml:space="preserve">• Bij stages, BBL en BOL-leerlingen gaat het om leerlingen van het vmbo, vso, praktijkscholen en </w:t>
      </w:r>
      <w:r w:rsidRPr="00780381">
        <w:t>mbo</w:t>
      </w:r>
      <w:r w:rsidR="00780381">
        <w:t>.</w:t>
      </w:r>
      <w:r>
        <w:t xml:space="preserve"> BBL- en BOL-leerlingen mogen gedurende hun studieperiode worden opgevoerd. </w:t>
      </w:r>
      <w:r w:rsidR="00780381">
        <w:br/>
      </w:r>
      <w:r>
        <w:t xml:space="preserve">• Afwijkingen worden naar rato berekend. </w:t>
      </w:r>
      <w:r w:rsidR="000430C9">
        <w:br/>
      </w:r>
      <w:r w:rsidR="000430C9" w:rsidRPr="000430C9">
        <w:rPr>
          <w:b/>
          <w:bCs/>
        </w:rPr>
        <w:br/>
        <w:t>Maatschappelijke activiteiten in het kader van arbeidsontwikkeling</w:t>
      </w:r>
      <w:r w:rsidR="000430C9">
        <w:t xml:space="preserve">  </w:t>
      </w:r>
    </w:p>
    <w:p w14:paraId="328C5B2C" w14:textId="6B34066D" w:rsidR="000430C9" w:rsidRDefault="000430C9" w:rsidP="000430C9">
      <w:r>
        <w:t xml:space="preserve">Indien niet (volledig) invulling kan worden gegeven aan social return via arbeidsparticipatie, dan is het mogelijk om maatschappelijke activiteiten uit te voeren.   </w:t>
      </w:r>
    </w:p>
    <w:p w14:paraId="06512841" w14:textId="45E76C33" w:rsidR="000430C9" w:rsidRDefault="000430C9" w:rsidP="000430C9">
      <w:r>
        <w:t xml:space="preserve">Onder arbeidsontwikkeling worden activiteiten verstaan in het kader van om-, her- en bijscholing medewerkers met als doel de arbeidsmarktpositie van deze social return doelgroep te versterken. Arbeidsontwikkeling vindt altijd plaats in combinatie met werk. Het gaat hier om inzet in natura en niet in geld.  </w:t>
      </w:r>
    </w:p>
    <w:p w14:paraId="55B67A09" w14:textId="3A723966" w:rsidR="000430C9" w:rsidRDefault="000430C9" w:rsidP="000430C9">
      <w:r>
        <w:t xml:space="preserve">Als de opdrachtnemer (een deel van) social return wil invullen met een maatschappelijke activiteit, dan dient hij daartoe een onderbouwd voorstel met urenspecificatie in bij </w:t>
      </w:r>
      <w:r w:rsidRPr="00780381">
        <w:t>SR</w:t>
      </w:r>
      <w:r w:rsidR="003860F2" w:rsidRPr="00780381">
        <w:t xml:space="preserve">OI-functionaris </w:t>
      </w:r>
      <w:r w:rsidRPr="00780381">
        <w:t xml:space="preserve">van de gemeente </w:t>
      </w:r>
      <w:r w:rsidR="003860F2" w:rsidRPr="00780381">
        <w:t>Gennep</w:t>
      </w:r>
      <w:r w:rsidRPr="00780381">
        <w:t xml:space="preserve">. In samenspraak met </w:t>
      </w:r>
      <w:r w:rsidR="003860F2" w:rsidRPr="00780381">
        <w:t>SROI-functionaris</w:t>
      </w:r>
      <w:r w:rsidRPr="00780381">
        <w:t xml:space="preserve"> wordt vervolgens een uurtarief of vast bedrag bepaald voor de activiteit.</w:t>
      </w:r>
      <w:r>
        <w:t xml:space="preserve">  </w:t>
      </w:r>
    </w:p>
    <w:p w14:paraId="337CE291" w14:textId="4B70B988" w:rsidR="008A7B84" w:rsidRDefault="000430C9" w:rsidP="000430C9">
      <w:r>
        <w:t xml:space="preserve">Mogelijke voorbeelden voor invulling kunnen zijn:  </w:t>
      </w:r>
    </w:p>
    <w:tbl>
      <w:tblPr>
        <w:tblStyle w:val="Tabelraster"/>
        <w:tblW w:w="0" w:type="auto"/>
        <w:tblLook w:val="04A0" w:firstRow="1" w:lastRow="0" w:firstColumn="1" w:lastColumn="0" w:noHBand="0" w:noVBand="1"/>
      </w:tblPr>
      <w:tblGrid>
        <w:gridCol w:w="3020"/>
        <w:gridCol w:w="3021"/>
        <w:gridCol w:w="3021"/>
      </w:tblGrid>
      <w:tr w:rsidR="00ED6D2A" w14:paraId="3A63A0C2" w14:textId="77777777" w:rsidTr="00ED6D2A">
        <w:tc>
          <w:tcPr>
            <w:tcW w:w="3020" w:type="dxa"/>
          </w:tcPr>
          <w:p w14:paraId="7A35D407" w14:textId="2AB22285" w:rsidR="00ED6D2A" w:rsidRDefault="00ED6D2A" w:rsidP="00D21E62">
            <w:r>
              <w:lastRenderedPageBreak/>
              <w:t>Dienst gericht ter bevordering van arbeidsontwikkeling</w:t>
            </w:r>
          </w:p>
        </w:tc>
        <w:tc>
          <w:tcPr>
            <w:tcW w:w="3021" w:type="dxa"/>
          </w:tcPr>
          <w:p w14:paraId="7E140248" w14:textId="4A1BCE17" w:rsidR="00ED6D2A" w:rsidRDefault="00ED6D2A" w:rsidP="00D21E62">
            <w:r>
              <w:t xml:space="preserve">Waarde (geld) </w:t>
            </w:r>
          </w:p>
        </w:tc>
        <w:tc>
          <w:tcPr>
            <w:tcW w:w="3021" w:type="dxa"/>
          </w:tcPr>
          <w:p w14:paraId="60A87A2B" w14:textId="27BE12B0" w:rsidR="00ED6D2A" w:rsidRDefault="00ED6D2A" w:rsidP="00D21E62">
            <w:r>
              <w:t>Specificaties</w:t>
            </w:r>
          </w:p>
        </w:tc>
      </w:tr>
      <w:tr w:rsidR="00ED6D2A" w14:paraId="7D675A44" w14:textId="77777777" w:rsidTr="00ED6D2A">
        <w:tc>
          <w:tcPr>
            <w:tcW w:w="3020" w:type="dxa"/>
          </w:tcPr>
          <w:p w14:paraId="1B1B03DA" w14:textId="45823223" w:rsidR="00ED6D2A" w:rsidRDefault="00ED6D2A" w:rsidP="00D21E62">
            <w:r>
              <w:t>Gastles over bedrijf, branche of sector</w:t>
            </w:r>
          </w:p>
        </w:tc>
        <w:tc>
          <w:tcPr>
            <w:tcW w:w="3021" w:type="dxa"/>
          </w:tcPr>
          <w:p w14:paraId="766F7FB5" w14:textId="3B2E60AE" w:rsidR="00ED6D2A" w:rsidRDefault="00ED6D2A" w:rsidP="00ED6D2A">
            <w:r>
              <w:t xml:space="preserve">€ 100 per uur </w:t>
            </w:r>
          </w:p>
        </w:tc>
        <w:tc>
          <w:tcPr>
            <w:tcW w:w="3021" w:type="dxa"/>
          </w:tcPr>
          <w:p w14:paraId="2E8347D4" w14:textId="266F5035" w:rsidR="00ED6D2A" w:rsidRDefault="00ED6D2A" w:rsidP="00D21E62">
            <w:r>
              <w:t>2 – 3 uur</w:t>
            </w:r>
          </w:p>
        </w:tc>
      </w:tr>
      <w:tr w:rsidR="00ED6D2A" w14:paraId="4816B9FC" w14:textId="77777777" w:rsidTr="00ED6D2A">
        <w:tc>
          <w:tcPr>
            <w:tcW w:w="3020" w:type="dxa"/>
          </w:tcPr>
          <w:p w14:paraId="00FEE322" w14:textId="7DEDB4B7" w:rsidR="00ED6D2A" w:rsidRDefault="00ED6D2A" w:rsidP="00D21E62">
            <w:r>
              <w:t>Bedrijfsbezoek</w:t>
            </w:r>
          </w:p>
        </w:tc>
        <w:tc>
          <w:tcPr>
            <w:tcW w:w="3021" w:type="dxa"/>
          </w:tcPr>
          <w:p w14:paraId="4D5C4FB7" w14:textId="37D8D3AD" w:rsidR="00ED6D2A" w:rsidRDefault="00ED6D2A" w:rsidP="00D21E62">
            <w:r>
              <w:t>€ 250 per dagdeel</w:t>
            </w:r>
          </w:p>
        </w:tc>
        <w:tc>
          <w:tcPr>
            <w:tcW w:w="3021" w:type="dxa"/>
          </w:tcPr>
          <w:p w14:paraId="696AFA71" w14:textId="2F6B9C7B" w:rsidR="00ED6D2A" w:rsidRDefault="001E7FFB" w:rsidP="001E7FFB">
            <w:r>
              <w:t xml:space="preserve">Voorbereiding en reistijd mogen niet meegerekend worden </w:t>
            </w:r>
          </w:p>
        </w:tc>
      </w:tr>
      <w:tr w:rsidR="00ED6D2A" w14:paraId="0057A0FA" w14:textId="77777777" w:rsidTr="00ED6D2A">
        <w:tc>
          <w:tcPr>
            <w:tcW w:w="3020" w:type="dxa"/>
          </w:tcPr>
          <w:p w14:paraId="2AE9D8D5" w14:textId="377FC211" w:rsidR="00ED6D2A" w:rsidRDefault="001E7FFB" w:rsidP="001E7FFB">
            <w:r>
              <w:t xml:space="preserve">Train de trainer: u als opdrachtnemer begeleidt een docent in bedrijfs-, branche- en sectorontwikkelingen  </w:t>
            </w:r>
          </w:p>
        </w:tc>
        <w:tc>
          <w:tcPr>
            <w:tcW w:w="3021" w:type="dxa"/>
          </w:tcPr>
          <w:p w14:paraId="5DCB5A2F" w14:textId="50E1C63D" w:rsidR="001E7FFB" w:rsidRDefault="001E7FFB" w:rsidP="001E7FFB">
            <w:r>
              <w:t xml:space="preserve">€ 250 per dagdeel </w:t>
            </w:r>
          </w:p>
          <w:p w14:paraId="68302683" w14:textId="77777777" w:rsidR="00ED6D2A" w:rsidRDefault="00ED6D2A" w:rsidP="00D21E62"/>
        </w:tc>
        <w:tc>
          <w:tcPr>
            <w:tcW w:w="3021" w:type="dxa"/>
          </w:tcPr>
          <w:p w14:paraId="1A426634" w14:textId="007F034E" w:rsidR="00ED6D2A" w:rsidRDefault="001E7FFB" w:rsidP="00D21E62">
            <w:r>
              <w:t>3 – 4 uur</w:t>
            </w:r>
          </w:p>
        </w:tc>
      </w:tr>
      <w:tr w:rsidR="00ED6D2A" w14:paraId="4CF6FB15" w14:textId="77777777" w:rsidTr="00ED6D2A">
        <w:tc>
          <w:tcPr>
            <w:tcW w:w="3020" w:type="dxa"/>
          </w:tcPr>
          <w:p w14:paraId="3CC74042" w14:textId="2805DAB8" w:rsidR="00ED6D2A" w:rsidRDefault="001E7FFB" w:rsidP="00D21E62">
            <w:r>
              <w:t>(Snuffel- / oriëntatie-)stage</w:t>
            </w:r>
          </w:p>
        </w:tc>
        <w:tc>
          <w:tcPr>
            <w:tcW w:w="3021" w:type="dxa"/>
          </w:tcPr>
          <w:p w14:paraId="42F8E89D" w14:textId="6D1ABCBD" w:rsidR="00ED6D2A" w:rsidRDefault="001E7FFB" w:rsidP="00D21E62">
            <w:r>
              <w:t>€ 100 per persoon per dag</w:t>
            </w:r>
          </w:p>
        </w:tc>
        <w:tc>
          <w:tcPr>
            <w:tcW w:w="3021" w:type="dxa"/>
          </w:tcPr>
          <w:p w14:paraId="62009F95" w14:textId="279649BB" w:rsidR="00ED6D2A" w:rsidRDefault="001E7FFB" w:rsidP="001E7FFB">
            <w:r>
              <w:t xml:space="preserve">Voorbereiding en reistijd mogen niet meegerekend worden   </w:t>
            </w:r>
          </w:p>
        </w:tc>
      </w:tr>
    </w:tbl>
    <w:p w14:paraId="5679D4C7" w14:textId="77777777" w:rsidR="003A2A82" w:rsidRDefault="002E5587" w:rsidP="001E7FFB"/>
    <w:sectPr w:rsidR="003A2A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A690B"/>
    <w:multiLevelType w:val="hybridMultilevel"/>
    <w:tmpl w:val="9182989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43A00CEA"/>
    <w:multiLevelType w:val="hybridMultilevel"/>
    <w:tmpl w:val="E0A4A96E"/>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92745385">
    <w:abstractNumId w:val="1"/>
  </w:num>
  <w:num w:numId="2" w16cid:durableId="17126820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0DE"/>
    <w:rsid w:val="000312B9"/>
    <w:rsid w:val="00036D07"/>
    <w:rsid w:val="000430C9"/>
    <w:rsid w:val="001B0116"/>
    <w:rsid w:val="001E7FFB"/>
    <w:rsid w:val="002042DC"/>
    <w:rsid w:val="002E1983"/>
    <w:rsid w:val="002E5587"/>
    <w:rsid w:val="00380AA3"/>
    <w:rsid w:val="003860F2"/>
    <w:rsid w:val="003914D3"/>
    <w:rsid w:val="003E5CD8"/>
    <w:rsid w:val="005F757E"/>
    <w:rsid w:val="0061379D"/>
    <w:rsid w:val="00780381"/>
    <w:rsid w:val="008A7B84"/>
    <w:rsid w:val="008D1C5F"/>
    <w:rsid w:val="009D5E57"/>
    <w:rsid w:val="00A36982"/>
    <w:rsid w:val="00A61C70"/>
    <w:rsid w:val="00A72BC1"/>
    <w:rsid w:val="00AD5B2C"/>
    <w:rsid w:val="00AE3C4A"/>
    <w:rsid w:val="00B27803"/>
    <w:rsid w:val="00B82283"/>
    <w:rsid w:val="00C360B7"/>
    <w:rsid w:val="00C66D60"/>
    <w:rsid w:val="00C7602D"/>
    <w:rsid w:val="00CF123D"/>
    <w:rsid w:val="00D05EE8"/>
    <w:rsid w:val="00D21E62"/>
    <w:rsid w:val="00D867FA"/>
    <w:rsid w:val="00E706CC"/>
    <w:rsid w:val="00EA300D"/>
    <w:rsid w:val="00ED6D2A"/>
    <w:rsid w:val="00EE2107"/>
    <w:rsid w:val="00F750DE"/>
    <w:rsid w:val="00FD6A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A0385"/>
  <w15:chartTrackingRefBased/>
  <w15:docId w15:val="{20006027-6DE0-4752-ABFE-DEFC56CC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50DE"/>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1379D"/>
    <w:pPr>
      <w:ind w:left="720"/>
      <w:contextualSpacing/>
    </w:pPr>
  </w:style>
  <w:style w:type="table" w:styleId="Tabelraster">
    <w:name w:val="Table Grid"/>
    <w:basedOn w:val="Standaardtabel"/>
    <w:uiPriority w:val="39"/>
    <w:rsid w:val="00C360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1069</Words>
  <Characters>5885</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Mieke Thijssen | Gemeente Gennep</dc:creator>
  <cp:keywords/>
  <dc:description/>
  <cp:lastModifiedBy>Charissa van Boxtel | Gemeente Gennep</cp:lastModifiedBy>
  <cp:revision>7</cp:revision>
  <dcterms:created xsi:type="dcterms:W3CDTF">2023-09-14T09:10:00Z</dcterms:created>
  <dcterms:modified xsi:type="dcterms:W3CDTF">2023-10-05T08:31:00Z</dcterms:modified>
</cp:coreProperties>
</file>