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4CEF0" w14:textId="77777777" w:rsidR="00F1487B" w:rsidRPr="00D776C0" w:rsidRDefault="00F1487B" w:rsidP="00F1487B">
      <w:pPr>
        <w:pStyle w:val="Kop1"/>
      </w:pPr>
      <w:bookmarkStart w:id="0" w:name="_GoBack"/>
      <w:bookmarkStart w:id="1" w:name="_Toc143003379"/>
      <w:bookmarkEnd w:id="0"/>
      <w:r w:rsidRPr="00D776C0">
        <w:t>Bijlage 3 Programma van Eisen</w:t>
      </w:r>
      <w:bookmarkEnd w:id="1"/>
    </w:p>
    <w:p w14:paraId="52438ADA" w14:textId="77777777" w:rsidR="00F1487B" w:rsidRPr="008E69D0" w:rsidRDefault="00F1487B" w:rsidP="00F1487B">
      <w:pPr>
        <w:rPr>
          <w:rFonts w:cs="Arial"/>
          <w:bCs/>
        </w:rPr>
      </w:pPr>
      <w:r w:rsidRPr="008E69D0">
        <w:rPr>
          <w:rFonts w:cs="Arial"/>
          <w:bCs/>
        </w:rPr>
        <w:t xml:space="preserve">Inzake Europese aanbesteding Aansprakelijkheidsverzekering ten behoeve van </w:t>
      </w:r>
    </w:p>
    <w:p w14:paraId="0432B9D8" w14:textId="77777777" w:rsidR="00F1487B" w:rsidRPr="008E69D0" w:rsidRDefault="00F1487B" w:rsidP="00F1487B">
      <w:pPr>
        <w:rPr>
          <w:rFonts w:cs="Arial"/>
          <w:bCs/>
        </w:rPr>
      </w:pPr>
      <w:r>
        <w:rPr>
          <w:rFonts w:cs="Arial"/>
          <w:bCs/>
        </w:rPr>
        <w:t>Gemeente Beuningen</w:t>
      </w:r>
    </w:p>
    <w:p w14:paraId="2910557B" w14:textId="77777777" w:rsidR="00F1487B" w:rsidRPr="008E69D0" w:rsidRDefault="00F1487B" w:rsidP="00F1487B">
      <w:pPr>
        <w:rPr>
          <w:rFonts w:cs="Arial"/>
          <w:bCs/>
        </w:rPr>
      </w:pPr>
      <w:r w:rsidRPr="008E69D0">
        <w:rPr>
          <w:rFonts w:cs="Arial"/>
          <w:bCs/>
        </w:rPr>
        <w:t>Aanbestedingsnummer: {</w:t>
      </w:r>
      <w:proofErr w:type="spellStart"/>
      <w:r w:rsidRPr="008E69D0">
        <w:rPr>
          <w:rFonts w:cs="Arial"/>
          <w:bCs/>
        </w:rPr>
        <w:t>xxxx</w:t>
      </w:r>
      <w:proofErr w:type="spellEnd"/>
      <w:r w:rsidRPr="008E69D0">
        <w:rPr>
          <w:rFonts w:cs="Arial"/>
          <w:bCs/>
        </w:rPr>
        <w:t>}</w:t>
      </w:r>
    </w:p>
    <w:p w14:paraId="72AC2A7E" w14:textId="77777777" w:rsidR="00F1487B" w:rsidRPr="008E69D0" w:rsidRDefault="00F1487B" w:rsidP="00F1487B">
      <w:pPr>
        <w:rPr>
          <w:rFonts w:cs="Arial"/>
          <w:bCs/>
        </w:rPr>
      </w:pPr>
    </w:p>
    <w:p w14:paraId="51E729AB" w14:textId="77777777" w:rsidR="00F1487B" w:rsidRPr="008E69D0" w:rsidRDefault="00F1487B" w:rsidP="00F1487B">
      <w:pPr>
        <w:spacing w:before="1"/>
        <w:ind w:right="587"/>
        <w:jc w:val="both"/>
        <w:rPr>
          <w:bCs/>
        </w:rPr>
      </w:pPr>
      <w:r w:rsidRPr="008E69D0">
        <w:rPr>
          <w:bCs/>
        </w:rPr>
        <w:t>Inschrijver</w:t>
      </w:r>
      <w:r w:rsidRPr="008E69D0">
        <w:rPr>
          <w:bCs/>
          <w:spacing w:val="-6"/>
        </w:rPr>
        <w:t xml:space="preserve"> </w:t>
      </w:r>
      <w:r w:rsidRPr="008E69D0">
        <w:rPr>
          <w:bCs/>
        </w:rPr>
        <w:t>moet</w:t>
      </w:r>
      <w:r w:rsidRPr="008E69D0">
        <w:rPr>
          <w:bCs/>
          <w:spacing w:val="-3"/>
        </w:rPr>
        <w:t xml:space="preserve"> </w:t>
      </w:r>
      <w:r w:rsidRPr="008E69D0">
        <w:rPr>
          <w:bCs/>
        </w:rPr>
        <w:t>onderstaande eisen accorderen/ondertekenen.</w:t>
      </w:r>
      <w:r w:rsidRPr="008E69D0">
        <w:rPr>
          <w:bCs/>
          <w:spacing w:val="-1"/>
        </w:rPr>
        <w:t xml:space="preserve"> </w:t>
      </w:r>
      <w:r w:rsidRPr="008E69D0">
        <w:rPr>
          <w:bCs/>
        </w:rPr>
        <w:t>Als</w:t>
      </w:r>
      <w:r w:rsidRPr="008E69D0">
        <w:rPr>
          <w:bCs/>
          <w:spacing w:val="-4"/>
        </w:rPr>
        <w:t xml:space="preserve"> </w:t>
      </w:r>
      <w:r w:rsidRPr="008E69D0">
        <w:rPr>
          <w:bCs/>
        </w:rPr>
        <w:t>het</w:t>
      </w:r>
      <w:r w:rsidRPr="008E69D0">
        <w:rPr>
          <w:bCs/>
          <w:spacing w:val="-3"/>
        </w:rPr>
        <w:t xml:space="preserve"> </w:t>
      </w:r>
      <w:r w:rsidRPr="008E69D0">
        <w:rPr>
          <w:bCs/>
        </w:rPr>
        <w:t>programma van Eisen</w:t>
      </w:r>
      <w:r w:rsidRPr="008E69D0">
        <w:rPr>
          <w:bCs/>
          <w:spacing w:val="-4"/>
        </w:rPr>
        <w:t xml:space="preserve"> </w:t>
      </w:r>
      <w:r w:rsidRPr="008E69D0">
        <w:rPr>
          <w:bCs/>
        </w:rPr>
        <w:t>niet</w:t>
      </w:r>
      <w:r w:rsidRPr="008E69D0">
        <w:rPr>
          <w:bCs/>
          <w:spacing w:val="-4"/>
        </w:rPr>
        <w:t xml:space="preserve"> </w:t>
      </w:r>
      <w:r w:rsidRPr="008E69D0">
        <w:rPr>
          <w:bCs/>
        </w:rPr>
        <w:t>wordt</w:t>
      </w:r>
      <w:r w:rsidRPr="008E69D0">
        <w:rPr>
          <w:bCs/>
          <w:spacing w:val="-5"/>
        </w:rPr>
        <w:t xml:space="preserve"> </w:t>
      </w:r>
      <w:r w:rsidRPr="008E69D0">
        <w:rPr>
          <w:bCs/>
        </w:rPr>
        <w:t>geaccordeerd/ondertekend</w:t>
      </w:r>
      <w:r w:rsidRPr="008E69D0">
        <w:rPr>
          <w:bCs/>
          <w:spacing w:val="-2"/>
        </w:rPr>
        <w:t xml:space="preserve"> </w:t>
      </w:r>
      <w:r w:rsidRPr="008E69D0">
        <w:rPr>
          <w:bCs/>
        </w:rPr>
        <w:t>zal</w:t>
      </w:r>
      <w:r w:rsidRPr="008E69D0">
        <w:rPr>
          <w:bCs/>
          <w:spacing w:val="-7"/>
        </w:rPr>
        <w:t xml:space="preserve"> </w:t>
      </w:r>
      <w:r w:rsidRPr="008E69D0">
        <w:rPr>
          <w:bCs/>
        </w:rPr>
        <w:t>de</w:t>
      </w:r>
      <w:r w:rsidRPr="008E69D0">
        <w:rPr>
          <w:bCs/>
          <w:spacing w:val="-4"/>
        </w:rPr>
        <w:t xml:space="preserve"> </w:t>
      </w:r>
      <w:r w:rsidRPr="008E69D0">
        <w:rPr>
          <w:bCs/>
        </w:rPr>
        <w:t>inschrijving</w:t>
      </w:r>
      <w:r w:rsidRPr="008E69D0">
        <w:rPr>
          <w:bCs/>
          <w:spacing w:val="-6"/>
        </w:rPr>
        <w:t xml:space="preserve"> </w:t>
      </w:r>
      <w:r w:rsidRPr="008E69D0">
        <w:rPr>
          <w:bCs/>
        </w:rPr>
        <w:t>van</w:t>
      </w:r>
      <w:r w:rsidRPr="008E69D0">
        <w:rPr>
          <w:bCs/>
          <w:spacing w:val="-4"/>
        </w:rPr>
        <w:t xml:space="preserve"> </w:t>
      </w:r>
      <w:r w:rsidRPr="008E69D0">
        <w:rPr>
          <w:bCs/>
        </w:rPr>
        <w:t>verdere</w:t>
      </w:r>
      <w:r w:rsidRPr="008E69D0">
        <w:rPr>
          <w:bCs/>
          <w:spacing w:val="-2"/>
        </w:rPr>
        <w:t xml:space="preserve"> </w:t>
      </w:r>
      <w:r w:rsidRPr="008E69D0">
        <w:rPr>
          <w:bCs/>
        </w:rPr>
        <w:t>beoordeling worden uitgesloten.</w:t>
      </w:r>
      <w:r>
        <w:rPr>
          <w:bCs/>
        </w:rPr>
        <w:t xml:space="preserve"> </w:t>
      </w:r>
      <w:r w:rsidRPr="008E69D0">
        <w:rPr>
          <w:bCs/>
        </w:rPr>
        <w:t>Voor</w:t>
      </w:r>
      <w:r w:rsidRPr="008E69D0">
        <w:rPr>
          <w:bCs/>
          <w:spacing w:val="-13"/>
        </w:rPr>
        <w:t xml:space="preserve"> </w:t>
      </w:r>
      <w:r w:rsidRPr="008E69D0">
        <w:rPr>
          <w:bCs/>
        </w:rPr>
        <w:t>opdrachtgever</w:t>
      </w:r>
      <w:r w:rsidRPr="008E69D0">
        <w:rPr>
          <w:bCs/>
          <w:spacing w:val="-8"/>
        </w:rPr>
        <w:t xml:space="preserve"> </w:t>
      </w:r>
      <w:r w:rsidRPr="008E69D0">
        <w:rPr>
          <w:bCs/>
        </w:rPr>
        <w:t>te</w:t>
      </w:r>
      <w:r w:rsidRPr="008E69D0">
        <w:rPr>
          <w:bCs/>
          <w:spacing w:val="-11"/>
        </w:rPr>
        <w:t xml:space="preserve"> </w:t>
      </w:r>
      <w:r w:rsidRPr="008E69D0">
        <w:rPr>
          <w:bCs/>
        </w:rPr>
        <w:t>lezen</w:t>
      </w:r>
      <w:r w:rsidRPr="008E69D0">
        <w:rPr>
          <w:bCs/>
          <w:spacing w:val="-9"/>
        </w:rPr>
        <w:t xml:space="preserve"> </w:t>
      </w:r>
      <w:r w:rsidRPr="008E69D0">
        <w:rPr>
          <w:bCs/>
        </w:rPr>
        <w:t>‘OG’</w:t>
      </w:r>
      <w:r w:rsidRPr="008E69D0">
        <w:rPr>
          <w:bCs/>
          <w:spacing w:val="-10"/>
        </w:rPr>
        <w:t xml:space="preserve"> </w:t>
      </w:r>
      <w:r w:rsidRPr="008E69D0">
        <w:rPr>
          <w:bCs/>
        </w:rPr>
        <w:t>en</w:t>
      </w:r>
      <w:r w:rsidRPr="008E69D0">
        <w:rPr>
          <w:bCs/>
          <w:spacing w:val="-10"/>
        </w:rPr>
        <w:t xml:space="preserve"> </w:t>
      </w:r>
      <w:r w:rsidRPr="008E69D0">
        <w:rPr>
          <w:bCs/>
        </w:rPr>
        <w:t>voor</w:t>
      </w:r>
      <w:r w:rsidRPr="008E69D0">
        <w:rPr>
          <w:bCs/>
          <w:spacing w:val="-11"/>
        </w:rPr>
        <w:t xml:space="preserve"> </w:t>
      </w:r>
      <w:r w:rsidRPr="008E69D0">
        <w:rPr>
          <w:bCs/>
        </w:rPr>
        <w:t>opdrachtnemer</w:t>
      </w:r>
      <w:r w:rsidRPr="008E69D0">
        <w:rPr>
          <w:bCs/>
          <w:spacing w:val="-7"/>
        </w:rPr>
        <w:t xml:space="preserve"> </w:t>
      </w:r>
      <w:r w:rsidRPr="008E69D0">
        <w:rPr>
          <w:bCs/>
          <w:spacing w:val="-4"/>
        </w:rPr>
        <w:t>‘ON’.</w:t>
      </w:r>
    </w:p>
    <w:p w14:paraId="2C3675BD" w14:textId="77777777" w:rsidR="00F1487B" w:rsidRDefault="00F1487B" w:rsidP="00F1487B">
      <w:pPr>
        <w:rPr>
          <w:rFonts w:cs="Arial"/>
          <w:b/>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8289"/>
      </w:tblGrid>
      <w:tr w:rsidR="00F1487B" w:rsidRPr="00F760FB" w14:paraId="64CE840B" w14:textId="77777777" w:rsidTr="00436FFD">
        <w:trPr>
          <w:cantSplit/>
          <w:trHeight w:val="488"/>
        </w:trPr>
        <w:tc>
          <w:tcPr>
            <w:tcW w:w="637" w:type="dxa"/>
            <w:shd w:val="clear" w:color="auto" w:fill="auto"/>
          </w:tcPr>
          <w:p w14:paraId="404FADB9" w14:textId="77777777" w:rsidR="00F1487B" w:rsidRPr="00443525" w:rsidRDefault="00F1487B" w:rsidP="00F1487B">
            <w:pPr>
              <w:pStyle w:val="Lijstalinea"/>
              <w:numPr>
                <w:ilvl w:val="0"/>
                <w:numId w:val="2"/>
              </w:numPr>
              <w:spacing w:line="276" w:lineRule="auto"/>
              <w:contextualSpacing w:val="0"/>
              <w:jc w:val="center"/>
              <w:rPr>
                <w:rFonts w:cs="Arial"/>
              </w:rPr>
            </w:pPr>
          </w:p>
        </w:tc>
        <w:tc>
          <w:tcPr>
            <w:tcW w:w="8289" w:type="dxa"/>
          </w:tcPr>
          <w:p w14:paraId="4BC878C9" w14:textId="77777777" w:rsidR="00F1487B" w:rsidRPr="00EA7A4C" w:rsidRDefault="00F1487B" w:rsidP="00436FFD">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iCs/>
              </w:rPr>
            </w:pPr>
            <w:r w:rsidRPr="00EA7A4C">
              <w:rPr>
                <w:rFonts w:cs="Arial"/>
              </w:rPr>
              <w:t xml:space="preserve">Inschrijver verklaart kennis te hebben genomen van dit </w:t>
            </w:r>
            <w:r>
              <w:rPr>
                <w:rFonts w:cs="Arial"/>
              </w:rPr>
              <w:t>bestek</w:t>
            </w:r>
            <w:r w:rsidRPr="00EA7A4C">
              <w:rPr>
                <w:rFonts w:cs="Arial"/>
              </w:rPr>
              <w:t>, met b</w:t>
            </w:r>
            <w:r>
              <w:rPr>
                <w:rFonts w:cs="Arial"/>
              </w:rPr>
              <w:t>ijbehorende bijlagen</w:t>
            </w:r>
            <w:r w:rsidRPr="00EA7A4C">
              <w:rPr>
                <w:rFonts w:cs="Arial"/>
              </w:rPr>
              <w:t>, overige technische aanbestedingsstukken en de nota(’s) van inlichtingen en met het indienen van een inschrijving gaat inschrijver onvoorwaardelijk akkoord met de procedure, de voorwaarden en genoemde documenten.</w:t>
            </w:r>
          </w:p>
        </w:tc>
      </w:tr>
      <w:tr w:rsidR="00F1487B" w:rsidRPr="00F760FB" w14:paraId="589BFF5B" w14:textId="77777777" w:rsidTr="00436FFD">
        <w:trPr>
          <w:cantSplit/>
          <w:trHeight w:val="488"/>
        </w:trPr>
        <w:tc>
          <w:tcPr>
            <w:tcW w:w="637" w:type="dxa"/>
            <w:tcBorders>
              <w:bottom w:val="single" w:sz="4" w:space="0" w:color="auto"/>
            </w:tcBorders>
            <w:shd w:val="clear" w:color="auto" w:fill="auto"/>
          </w:tcPr>
          <w:p w14:paraId="61AC8FB5" w14:textId="77777777" w:rsidR="00F1487B" w:rsidRPr="006F10D2" w:rsidRDefault="00F1487B" w:rsidP="00F1487B">
            <w:pPr>
              <w:pStyle w:val="Lijstalinea"/>
              <w:numPr>
                <w:ilvl w:val="0"/>
                <w:numId w:val="2"/>
              </w:numPr>
              <w:spacing w:line="276" w:lineRule="auto"/>
              <w:contextualSpacing w:val="0"/>
              <w:jc w:val="center"/>
              <w:rPr>
                <w:rFonts w:cs="Arial"/>
              </w:rPr>
            </w:pPr>
          </w:p>
        </w:tc>
        <w:tc>
          <w:tcPr>
            <w:tcW w:w="8289" w:type="dxa"/>
            <w:tcBorders>
              <w:bottom w:val="single" w:sz="4" w:space="0" w:color="auto"/>
            </w:tcBorders>
          </w:tcPr>
          <w:p w14:paraId="3411FA4E" w14:textId="77777777" w:rsidR="00F1487B" w:rsidRPr="00EA7A4C" w:rsidRDefault="00F1487B" w:rsidP="00436FFD">
            <w:pPr>
              <w:rPr>
                <w:rFonts w:cs="Arial"/>
              </w:rPr>
            </w:pPr>
            <w:r w:rsidRPr="00EA7A4C">
              <w:rPr>
                <w:rFonts w:cs="Arial"/>
              </w:rPr>
              <w:t>Als er onduidelijkheid of verschil van mening is over de uitleg van de opdracht, zal voor de beantwoording van het betreffende meningsverschil gekeken worden naar de volgende documenten in aflopende volgorde van belangrijkheid:</w:t>
            </w:r>
          </w:p>
          <w:p w14:paraId="30BC5D3A" w14:textId="77777777" w:rsidR="00F1487B" w:rsidRPr="00EA7A4C" w:rsidRDefault="00F1487B" w:rsidP="00F1487B">
            <w:pPr>
              <w:pStyle w:val="Lijstalinea"/>
              <w:numPr>
                <w:ilvl w:val="0"/>
                <w:numId w:val="3"/>
              </w:numPr>
              <w:spacing w:line="276" w:lineRule="auto"/>
              <w:contextualSpacing w:val="0"/>
              <w:rPr>
                <w:rFonts w:cs="Arial"/>
              </w:rPr>
            </w:pPr>
            <w:r w:rsidRPr="00EA7A4C">
              <w:rPr>
                <w:rFonts w:cs="Arial"/>
              </w:rPr>
              <w:t>De nota(‘s) van inlichtingen;</w:t>
            </w:r>
          </w:p>
          <w:p w14:paraId="45513A35" w14:textId="77777777" w:rsidR="00F1487B" w:rsidRPr="006E4895" w:rsidRDefault="00F1487B" w:rsidP="00F1487B">
            <w:pPr>
              <w:pStyle w:val="Lijstalinea"/>
              <w:numPr>
                <w:ilvl w:val="0"/>
                <w:numId w:val="3"/>
              </w:numPr>
              <w:spacing w:line="276" w:lineRule="auto"/>
              <w:contextualSpacing w:val="0"/>
              <w:rPr>
                <w:rFonts w:cs="Arial"/>
              </w:rPr>
            </w:pPr>
            <w:r w:rsidRPr="006E4895">
              <w:rPr>
                <w:rFonts w:cs="Arial"/>
              </w:rPr>
              <w:t xml:space="preserve">Het </w:t>
            </w:r>
            <w:r>
              <w:rPr>
                <w:rFonts w:cs="Arial"/>
              </w:rPr>
              <w:t>bestek</w:t>
            </w:r>
            <w:r w:rsidRPr="006E4895">
              <w:rPr>
                <w:rFonts w:cs="Arial"/>
              </w:rPr>
              <w:t>;</w:t>
            </w:r>
          </w:p>
          <w:p w14:paraId="5832EFAD" w14:textId="77777777" w:rsidR="00F1487B" w:rsidRPr="00EA7A4C" w:rsidRDefault="00F1487B" w:rsidP="00F1487B">
            <w:pPr>
              <w:pStyle w:val="Lijstalinea"/>
              <w:numPr>
                <w:ilvl w:val="0"/>
                <w:numId w:val="3"/>
              </w:numPr>
              <w:spacing w:line="276" w:lineRule="auto"/>
              <w:contextualSpacing w:val="0"/>
              <w:rPr>
                <w:rFonts w:cs="Arial"/>
              </w:rPr>
            </w:pPr>
            <w:r w:rsidRPr="00EA7A4C">
              <w:rPr>
                <w:rFonts w:cs="Arial"/>
              </w:rPr>
              <w:t>De ingediende inschrijving van de O</w:t>
            </w:r>
            <w:r>
              <w:rPr>
                <w:rFonts w:cs="Arial"/>
              </w:rPr>
              <w:t>pdrachtnemer (ON)</w:t>
            </w:r>
          </w:p>
          <w:p w14:paraId="35219352" w14:textId="77777777" w:rsidR="00F1487B" w:rsidRDefault="00F1487B" w:rsidP="00F1487B">
            <w:pPr>
              <w:pStyle w:val="Lijstalinea"/>
              <w:numPr>
                <w:ilvl w:val="0"/>
                <w:numId w:val="3"/>
              </w:numPr>
              <w:spacing w:line="276" w:lineRule="auto"/>
              <w:contextualSpacing w:val="0"/>
              <w:rPr>
                <w:rFonts w:cs="Arial"/>
              </w:rPr>
            </w:pPr>
            <w:r>
              <w:rPr>
                <w:rFonts w:cs="Arial"/>
              </w:rPr>
              <w:t>Het opgestelde verzekeringscontract/polis</w:t>
            </w:r>
          </w:p>
          <w:p w14:paraId="641D719A" w14:textId="77777777" w:rsidR="00F1487B" w:rsidRPr="00045D20" w:rsidRDefault="00F1487B" w:rsidP="00436FFD"/>
        </w:tc>
      </w:tr>
      <w:tr w:rsidR="00F1487B" w:rsidRPr="00B41675" w14:paraId="5600460B" w14:textId="77777777" w:rsidTr="00436FFD">
        <w:trPr>
          <w:cantSplit/>
        </w:trPr>
        <w:tc>
          <w:tcPr>
            <w:tcW w:w="637" w:type="dxa"/>
            <w:shd w:val="clear" w:color="auto" w:fill="auto"/>
          </w:tcPr>
          <w:p w14:paraId="73A01ACD" w14:textId="77777777" w:rsidR="00F1487B" w:rsidRPr="00B41675" w:rsidRDefault="00F1487B" w:rsidP="00F1487B">
            <w:pPr>
              <w:pStyle w:val="Lijstalinea"/>
              <w:numPr>
                <w:ilvl w:val="0"/>
                <w:numId w:val="2"/>
              </w:numPr>
              <w:spacing w:line="276" w:lineRule="auto"/>
              <w:contextualSpacing w:val="0"/>
              <w:jc w:val="center"/>
              <w:rPr>
                <w:rFonts w:cs="Arial"/>
              </w:rPr>
            </w:pPr>
          </w:p>
        </w:tc>
        <w:tc>
          <w:tcPr>
            <w:tcW w:w="8289" w:type="dxa"/>
          </w:tcPr>
          <w:p w14:paraId="60311505" w14:textId="77777777" w:rsidR="00F1487B" w:rsidRPr="00EA7A4C" w:rsidRDefault="00F1487B" w:rsidP="00436FFD">
            <w:pPr>
              <w:rPr>
                <w:rFonts w:cs="Arial"/>
              </w:rPr>
            </w:pPr>
            <w:r w:rsidRPr="00EA7A4C">
              <w:rPr>
                <w:rFonts w:cs="Arial"/>
              </w:rPr>
              <w:t xml:space="preserve">De inschrijver heeft zijn prijs gebaseerd op de inhoud van dit </w:t>
            </w:r>
            <w:r>
              <w:rPr>
                <w:rFonts w:cs="Arial"/>
              </w:rPr>
              <w:t>bestek</w:t>
            </w:r>
            <w:r w:rsidRPr="00EA7A4C">
              <w:rPr>
                <w:rFonts w:cs="Arial"/>
              </w:rPr>
              <w:t>, de eventuele nota(‘s) van inlichtingen en bijbehorende bijlagen. Na opdracht kan de ON geen meerwerkkosten opvoeren van werkzaamheden die op enigerlei wijze te herleiden zijn uit deze documenten en/of een goede werking van het gevraagde.</w:t>
            </w:r>
          </w:p>
        </w:tc>
      </w:tr>
      <w:tr w:rsidR="00F1487B" w:rsidRPr="00F760FB" w14:paraId="5FC93FB3" w14:textId="77777777" w:rsidTr="00436FFD">
        <w:trPr>
          <w:cantSplit/>
          <w:trHeight w:val="488"/>
        </w:trPr>
        <w:tc>
          <w:tcPr>
            <w:tcW w:w="637" w:type="dxa"/>
            <w:tcBorders>
              <w:bottom w:val="single" w:sz="4" w:space="0" w:color="auto"/>
            </w:tcBorders>
            <w:shd w:val="clear" w:color="auto" w:fill="auto"/>
          </w:tcPr>
          <w:p w14:paraId="638BFD0B" w14:textId="77777777" w:rsidR="00F1487B" w:rsidRPr="006F10D2" w:rsidRDefault="00F1487B" w:rsidP="00F1487B">
            <w:pPr>
              <w:pStyle w:val="Lijstalinea"/>
              <w:numPr>
                <w:ilvl w:val="0"/>
                <w:numId w:val="2"/>
              </w:numPr>
              <w:spacing w:line="276" w:lineRule="auto"/>
              <w:contextualSpacing w:val="0"/>
              <w:jc w:val="center"/>
              <w:rPr>
                <w:rFonts w:cs="Arial"/>
              </w:rPr>
            </w:pPr>
          </w:p>
        </w:tc>
        <w:tc>
          <w:tcPr>
            <w:tcW w:w="8289" w:type="dxa"/>
            <w:tcBorders>
              <w:bottom w:val="single" w:sz="4" w:space="0" w:color="auto"/>
            </w:tcBorders>
          </w:tcPr>
          <w:p w14:paraId="0C77822A" w14:textId="77777777" w:rsidR="00F1487B" w:rsidRPr="00EA7A4C" w:rsidRDefault="00F1487B" w:rsidP="00436FFD">
            <w:pPr>
              <w:rPr>
                <w:rFonts w:cs="Arial"/>
              </w:rPr>
            </w:pPr>
            <w:r w:rsidRPr="00EA7A4C">
              <w:rPr>
                <w:rFonts w:cs="Arial"/>
              </w:rPr>
              <w:t>Alle vermelde prijzen en tarieven zijn in Euro (</w:t>
            </w:r>
            <w:r>
              <w:rPr>
                <w:rFonts w:cs="Arial"/>
              </w:rPr>
              <w:t>EUR</w:t>
            </w:r>
            <w:r w:rsidRPr="00EA7A4C">
              <w:rPr>
                <w:rFonts w:cs="Arial"/>
              </w:rPr>
              <w:t>) en exclusief assurantiebelasting. De door inschrijver aangeboden prijzen en tarieven dienen inclusief overige belastingen en/of heffingen, reis- en verblijfkosten en soortgelijke te zijn.</w:t>
            </w:r>
          </w:p>
        </w:tc>
      </w:tr>
      <w:tr w:rsidR="00F1487B" w:rsidRPr="003A55C9" w14:paraId="2F1B5A21" w14:textId="77777777" w:rsidTr="00436FFD">
        <w:trPr>
          <w:cantSplit/>
          <w:trHeight w:val="488"/>
        </w:trPr>
        <w:tc>
          <w:tcPr>
            <w:tcW w:w="637" w:type="dxa"/>
            <w:tcBorders>
              <w:bottom w:val="single" w:sz="4" w:space="0" w:color="auto"/>
            </w:tcBorders>
            <w:shd w:val="clear" w:color="auto" w:fill="auto"/>
          </w:tcPr>
          <w:p w14:paraId="469DA9F1" w14:textId="77777777" w:rsidR="00F1487B" w:rsidRPr="007D3FB9" w:rsidRDefault="00F1487B" w:rsidP="00F1487B">
            <w:pPr>
              <w:pStyle w:val="Lijstalinea"/>
              <w:numPr>
                <w:ilvl w:val="0"/>
                <w:numId w:val="2"/>
              </w:numPr>
              <w:spacing w:line="276" w:lineRule="auto"/>
              <w:contextualSpacing w:val="0"/>
              <w:jc w:val="center"/>
              <w:rPr>
                <w:rFonts w:cs="Arial"/>
              </w:rPr>
            </w:pPr>
          </w:p>
        </w:tc>
        <w:tc>
          <w:tcPr>
            <w:tcW w:w="8289" w:type="dxa"/>
            <w:tcBorders>
              <w:bottom w:val="single" w:sz="4" w:space="0" w:color="auto"/>
            </w:tcBorders>
          </w:tcPr>
          <w:p w14:paraId="298D5C51" w14:textId="77777777" w:rsidR="00F1487B" w:rsidRPr="00EA7A4C" w:rsidRDefault="00F1487B" w:rsidP="00436FFD">
            <w:pPr>
              <w:rPr>
                <w:rFonts w:cs="Arial"/>
              </w:rPr>
            </w:pPr>
            <w:r>
              <w:rPr>
                <w:rFonts w:cs="Arial"/>
              </w:rPr>
              <w:t>Responssnelheid bij telefonisch vragen: Binnen 1 werkdag dient contact te zijn ontstaan en afhankelijk van inhoud van de vraag dient antwoord binnen gemiddeld 3 werkdagen doorgegeven te zijn.</w:t>
            </w:r>
          </w:p>
        </w:tc>
      </w:tr>
      <w:tr w:rsidR="00F1487B" w:rsidRPr="003A55C9" w14:paraId="04C820F9" w14:textId="77777777" w:rsidTr="00436FFD">
        <w:trPr>
          <w:cantSplit/>
          <w:trHeight w:val="488"/>
        </w:trPr>
        <w:tc>
          <w:tcPr>
            <w:tcW w:w="637" w:type="dxa"/>
            <w:tcBorders>
              <w:bottom w:val="single" w:sz="4" w:space="0" w:color="auto"/>
            </w:tcBorders>
            <w:shd w:val="clear" w:color="auto" w:fill="auto"/>
          </w:tcPr>
          <w:p w14:paraId="475D8180" w14:textId="77777777" w:rsidR="00F1487B" w:rsidRPr="007D3FB9" w:rsidRDefault="00F1487B" w:rsidP="00F1487B">
            <w:pPr>
              <w:pStyle w:val="Lijstalinea"/>
              <w:numPr>
                <w:ilvl w:val="0"/>
                <w:numId w:val="2"/>
              </w:numPr>
              <w:spacing w:line="276" w:lineRule="auto"/>
              <w:contextualSpacing w:val="0"/>
              <w:jc w:val="center"/>
              <w:rPr>
                <w:rFonts w:cs="Arial"/>
              </w:rPr>
            </w:pPr>
          </w:p>
        </w:tc>
        <w:tc>
          <w:tcPr>
            <w:tcW w:w="8289" w:type="dxa"/>
            <w:tcBorders>
              <w:bottom w:val="single" w:sz="4" w:space="0" w:color="auto"/>
            </w:tcBorders>
          </w:tcPr>
          <w:p w14:paraId="693DD959" w14:textId="77777777" w:rsidR="00F1487B" w:rsidRPr="00EA7A4C" w:rsidRDefault="00F1487B" w:rsidP="00436FFD">
            <w:pPr>
              <w:rPr>
                <w:rFonts w:cs="Arial"/>
              </w:rPr>
            </w:pPr>
            <w:r>
              <w:rPr>
                <w:rFonts w:cs="Arial"/>
              </w:rPr>
              <w:t>Responssnelheid bij schriftelijke/email vragen. Binnen 2 werkdagen dient bevestiging van ontvangst verzonden te zijn en inhoudelijke beantwoording van de vraag dient, afhankelijk van de inhoud van de vraag, binnen gemiddeld 5 werkdagen te geschieden.</w:t>
            </w:r>
          </w:p>
        </w:tc>
      </w:tr>
      <w:tr w:rsidR="00F1487B" w:rsidRPr="003A55C9" w14:paraId="4CFBF0AF" w14:textId="77777777" w:rsidTr="00436FFD">
        <w:trPr>
          <w:cantSplit/>
          <w:trHeight w:val="488"/>
        </w:trPr>
        <w:tc>
          <w:tcPr>
            <w:tcW w:w="637" w:type="dxa"/>
            <w:tcBorders>
              <w:bottom w:val="single" w:sz="4" w:space="0" w:color="auto"/>
            </w:tcBorders>
            <w:shd w:val="clear" w:color="auto" w:fill="auto"/>
          </w:tcPr>
          <w:p w14:paraId="0CA5AAAE" w14:textId="77777777" w:rsidR="00F1487B" w:rsidRPr="007D3FB9" w:rsidRDefault="00F1487B" w:rsidP="00F1487B">
            <w:pPr>
              <w:pStyle w:val="Lijstalinea"/>
              <w:numPr>
                <w:ilvl w:val="0"/>
                <w:numId w:val="2"/>
              </w:numPr>
              <w:spacing w:line="276" w:lineRule="auto"/>
              <w:contextualSpacing w:val="0"/>
              <w:jc w:val="center"/>
              <w:rPr>
                <w:rFonts w:cs="Arial"/>
              </w:rPr>
            </w:pPr>
          </w:p>
        </w:tc>
        <w:tc>
          <w:tcPr>
            <w:tcW w:w="8289" w:type="dxa"/>
            <w:tcBorders>
              <w:bottom w:val="single" w:sz="4" w:space="0" w:color="auto"/>
            </w:tcBorders>
          </w:tcPr>
          <w:p w14:paraId="4A918DDB" w14:textId="77777777" w:rsidR="00F1487B" w:rsidRPr="00EA7A4C" w:rsidRDefault="00F1487B" w:rsidP="00436FFD">
            <w:pPr>
              <w:rPr>
                <w:rFonts w:cs="Arial"/>
              </w:rPr>
            </w:pPr>
            <w:r>
              <w:rPr>
                <w:rFonts w:cs="Arial"/>
              </w:rPr>
              <w:t xml:space="preserve">Uw organisatie dient te beschikken over een alarm/calamiteiten telefoonnummer waarop uw organisatie 24/7 beschikbaar is. </w:t>
            </w:r>
          </w:p>
        </w:tc>
      </w:tr>
      <w:tr w:rsidR="00F1487B" w:rsidRPr="00F760FB" w14:paraId="467DC2EC" w14:textId="77777777" w:rsidTr="00436FFD">
        <w:trPr>
          <w:cantSplit/>
          <w:trHeight w:val="488"/>
        </w:trPr>
        <w:tc>
          <w:tcPr>
            <w:tcW w:w="637" w:type="dxa"/>
            <w:shd w:val="clear" w:color="auto" w:fill="auto"/>
          </w:tcPr>
          <w:p w14:paraId="784D5984" w14:textId="77777777" w:rsidR="00F1487B" w:rsidRPr="00443525" w:rsidRDefault="00F1487B" w:rsidP="00F1487B">
            <w:pPr>
              <w:pStyle w:val="Lijstalinea"/>
              <w:numPr>
                <w:ilvl w:val="0"/>
                <w:numId w:val="2"/>
              </w:numPr>
              <w:spacing w:line="276" w:lineRule="auto"/>
              <w:contextualSpacing w:val="0"/>
              <w:jc w:val="center"/>
              <w:rPr>
                <w:rFonts w:cs="Arial"/>
              </w:rPr>
            </w:pPr>
          </w:p>
        </w:tc>
        <w:tc>
          <w:tcPr>
            <w:tcW w:w="8289" w:type="dxa"/>
          </w:tcPr>
          <w:p w14:paraId="4A700507" w14:textId="77777777" w:rsidR="00F1487B" w:rsidRPr="0050592C" w:rsidRDefault="00F1487B" w:rsidP="00436FFD">
            <w:pPr>
              <w:tabs>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color w:val="FF0000"/>
              </w:rPr>
            </w:pPr>
            <w:r w:rsidRPr="1333DF92">
              <w:rPr>
                <w:rFonts w:cs="Arial"/>
              </w:rPr>
              <w:t xml:space="preserve">Verzekerd dient te zijn de aansprakelijkheid van de </w:t>
            </w:r>
            <w:r>
              <w:rPr>
                <w:rFonts w:cs="Arial"/>
              </w:rPr>
              <w:t>gemeente Beuningen</w:t>
            </w:r>
            <w:r w:rsidRPr="1333DF92">
              <w:rPr>
                <w:rFonts w:cs="Arial"/>
                <w:b/>
                <w:bCs/>
              </w:rPr>
              <w:t xml:space="preserve"> </w:t>
            </w:r>
            <w:r w:rsidRPr="1333DF92">
              <w:rPr>
                <w:rFonts w:cs="Arial"/>
              </w:rPr>
              <w:t xml:space="preserve">voor door derden geleden zaak-, personen- en zuivere vermogensschade inclusief de daaruit voortvloeiende gevolgschade, volgens de in de provinciale verzekeringsmarkt gebruikelijke voorwaarden voor aansprakelijkheidsrisico’s zoals de Productvoorwaarden Aansprakelijkheidsverzekering voor gemeentes </w:t>
            </w:r>
            <w:r w:rsidRPr="1333DF92">
              <w:rPr>
                <w:color w:val="000000" w:themeColor="text1"/>
              </w:rPr>
              <w:t>LAG 23/ZAV21 (CB) of AVG035 (</w:t>
            </w:r>
            <w:proofErr w:type="spellStart"/>
            <w:r w:rsidRPr="1333DF92">
              <w:rPr>
                <w:color w:val="000000" w:themeColor="text1"/>
              </w:rPr>
              <w:t>Melior</w:t>
            </w:r>
            <w:proofErr w:type="spellEnd"/>
            <w:r w:rsidRPr="1333DF92">
              <w:rPr>
                <w:color w:val="000000" w:themeColor="text1"/>
              </w:rPr>
              <w:t xml:space="preserve">) </w:t>
            </w:r>
            <w:r w:rsidRPr="1333DF92">
              <w:rPr>
                <w:rFonts w:cs="Arial"/>
              </w:rPr>
              <w:t xml:space="preserve">of daarmee tenminste vergelijkbare voorwaarden. </w:t>
            </w:r>
          </w:p>
        </w:tc>
      </w:tr>
      <w:tr w:rsidR="00F1487B" w:rsidRPr="00F760FB" w14:paraId="27949FBE" w14:textId="77777777" w:rsidTr="00436FFD">
        <w:trPr>
          <w:cantSplit/>
          <w:trHeight w:val="488"/>
        </w:trPr>
        <w:tc>
          <w:tcPr>
            <w:tcW w:w="637" w:type="dxa"/>
            <w:shd w:val="clear" w:color="auto" w:fill="auto"/>
          </w:tcPr>
          <w:p w14:paraId="61ABA85B" w14:textId="77777777" w:rsidR="00F1487B" w:rsidRPr="007257AD" w:rsidRDefault="00F1487B" w:rsidP="00F1487B">
            <w:pPr>
              <w:pStyle w:val="Lijstalinea"/>
              <w:numPr>
                <w:ilvl w:val="0"/>
                <w:numId w:val="2"/>
              </w:numPr>
              <w:spacing w:line="276" w:lineRule="auto"/>
              <w:contextualSpacing w:val="0"/>
              <w:jc w:val="center"/>
              <w:rPr>
                <w:rFonts w:cs="Arial"/>
              </w:rPr>
            </w:pPr>
          </w:p>
        </w:tc>
        <w:tc>
          <w:tcPr>
            <w:tcW w:w="8289" w:type="dxa"/>
          </w:tcPr>
          <w:p w14:paraId="116695FC" w14:textId="77777777" w:rsidR="00F1487B" w:rsidRPr="00EA7A4C" w:rsidRDefault="00F1487B" w:rsidP="00436FFD">
            <w:pPr>
              <w:tabs>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1333DF92">
              <w:rPr>
                <w:rFonts w:cs="Arial"/>
              </w:rPr>
              <w:t>De verzekering dient dekking te bieden voor schaden die ter kennis zijn gekomen van de verzekerde en bij verzekeraar zijn gemeld gedurende de looptijd van de verzekering; als melding wordt tevens beschouwd een omstandighedenmelding/pro-formamelding</w:t>
            </w:r>
            <w:r>
              <w:t xml:space="preserve"> met </w:t>
            </w:r>
            <w:r w:rsidRPr="1333DF92">
              <w:rPr>
                <w:rFonts w:cs="Arial"/>
              </w:rPr>
              <w:t xml:space="preserve">tot doel verzekeringsdekking te borgen totdat een feitelijke aanspraak wordt ontvangen en inhoudelijk behandeld kan worden. </w:t>
            </w:r>
          </w:p>
        </w:tc>
      </w:tr>
      <w:tr w:rsidR="00F1487B" w:rsidRPr="00F760FB" w14:paraId="78457C9A" w14:textId="77777777" w:rsidTr="00436FFD">
        <w:trPr>
          <w:cantSplit/>
          <w:trHeight w:val="488"/>
        </w:trPr>
        <w:tc>
          <w:tcPr>
            <w:tcW w:w="637" w:type="dxa"/>
            <w:shd w:val="clear" w:color="auto" w:fill="auto"/>
          </w:tcPr>
          <w:p w14:paraId="0BC10289" w14:textId="77777777" w:rsidR="00F1487B" w:rsidRPr="003F0E42" w:rsidRDefault="00F1487B" w:rsidP="00F1487B">
            <w:pPr>
              <w:pStyle w:val="Lijstalinea"/>
              <w:numPr>
                <w:ilvl w:val="0"/>
                <w:numId w:val="2"/>
              </w:numPr>
              <w:spacing w:line="276" w:lineRule="auto"/>
              <w:contextualSpacing w:val="0"/>
              <w:jc w:val="center"/>
              <w:rPr>
                <w:rFonts w:cs="Arial"/>
              </w:rPr>
            </w:pPr>
          </w:p>
        </w:tc>
        <w:tc>
          <w:tcPr>
            <w:tcW w:w="8289" w:type="dxa"/>
          </w:tcPr>
          <w:p w14:paraId="068AF254" w14:textId="77777777" w:rsidR="00F1487B" w:rsidRDefault="00F1487B" w:rsidP="00436FFD">
            <w:pPr>
              <w:tabs>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1333DF92">
              <w:rPr>
                <w:rFonts w:cs="Arial"/>
              </w:rPr>
              <w:t xml:space="preserve">Inloop: De aansprakelijkheidsverzekering dient dekking te bieden voor het zogenaamde inlooprisico voor zaak-, personen-, en vermogensschaden gerekend </w:t>
            </w:r>
            <w:r w:rsidRPr="00D65169">
              <w:rPr>
                <w:rFonts w:cs="Arial"/>
              </w:rPr>
              <w:t>vanaf</w:t>
            </w:r>
            <w:r>
              <w:rPr>
                <w:rFonts w:cs="Arial"/>
              </w:rPr>
              <w:t xml:space="preserve"> 01-01-2012 </w:t>
            </w:r>
            <w:r w:rsidRPr="1333DF92">
              <w:rPr>
                <w:rFonts w:cs="Arial"/>
              </w:rPr>
              <w:t>. Het gaat om schades waarvan verzekerde niet wist of kon vermoeden dat hij/zij hiervoor aansprakelijk gesteld zou worden.</w:t>
            </w:r>
          </w:p>
          <w:p w14:paraId="1B7F289B" w14:textId="77777777" w:rsidR="00F1487B" w:rsidRPr="00EA7A4C" w:rsidRDefault="00F1487B" w:rsidP="00436FFD">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EA7A4C">
              <w:rPr>
                <w:rFonts w:cs="Arial"/>
              </w:rPr>
              <w:t>De polis zal naadloos aansluiten op de voorgaande polis zodat er geen schadegevallen om die reden niet gedekt kunnen zijn.</w:t>
            </w:r>
          </w:p>
        </w:tc>
      </w:tr>
      <w:tr w:rsidR="00F1487B" w:rsidRPr="00F760FB" w14:paraId="205BF2DA" w14:textId="77777777" w:rsidTr="00436FFD">
        <w:trPr>
          <w:cantSplit/>
          <w:trHeight w:val="488"/>
        </w:trPr>
        <w:tc>
          <w:tcPr>
            <w:tcW w:w="637" w:type="dxa"/>
            <w:shd w:val="clear" w:color="auto" w:fill="auto"/>
          </w:tcPr>
          <w:p w14:paraId="1CCA05ED" w14:textId="77777777" w:rsidR="00F1487B" w:rsidRPr="006F10D2" w:rsidRDefault="00F1487B" w:rsidP="00F1487B">
            <w:pPr>
              <w:pStyle w:val="Lijstalinea"/>
              <w:numPr>
                <w:ilvl w:val="0"/>
                <w:numId w:val="2"/>
              </w:numPr>
              <w:spacing w:line="276" w:lineRule="auto"/>
              <w:contextualSpacing w:val="0"/>
              <w:jc w:val="center"/>
              <w:rPr>
                <w:rFonts w:cs="Arial"/>
              </w:rPr>
            </w:pPr>
          </w:p>
        </w:tc>
        <w:tc>
          <w:tcPr>
            <w:tcW w:w="8289" w:type="dxa"/>
          </w:tcPr>
          <w:p w14:paraId="0D5210D2" w14:textId="77777777" w:rsidR="00F1487B" w:rsidRPr="00EA7A4C" w:rsidRDefault="00F1487B" w:rsidP="00436FFD">
            <w:pPr>
              <w:rPr>
                <w:rFonts w:cs="Arial"/>
              </w:rPr>
            </w:pPr>
            <w:r w:rsidRPr="00D94943">
              <w:t>Uitloop: Indien de verzekering wordt beëindigd, anders dan wegens het opzettelijk verstrekken van onjuiste gegevens, behoudt de verzekeringnemer gedurende drie maanden na de beëindigingsdatum het recht om aanspraken die tijdens de looptijd van de verzekering tegen verzekerde zijn ingesteld te</w:t>
            </w:r>
            <w:r>
              <w:t xml:space="preserve"> </w:t>
            </w:r>
            <w:r w:rsidRPr="00D94943">
              <w:t>melden. Dergelijke gemelde aanspraken zullen in dat geval behandeld worden als aanspraken die binnen de looptijd van de verzekering zijn gemeld.</w:t>
            </w:r>
          </w:p>
        </w:tc>
      </w:tr>
      <w:tr w:rsidR="00F1487B" w:rsidRPr="00F760FB" w14:paraId="7EBCFE4C" w14:textId="77777777" w:rsidTr="00436FFD">
        <w:trPr>
          <w:cantSplit/>
          <w:trHeight w:val="488"/>
        </w:trPr>
        <w:tc>
          <w:tcPr>
            <w:tcW w:w="637" w:type="dxa"/>
            <w:shd w:val="clear" w:color="auto" w:fill="auto"/>
          </w:tcPr>
          <w:p w14:paraId="02804F45" w14:textId="77777777" w:rsidR="00F1487B" w:rsidRPr="00180353" w:rsidRDefault="00F1487B" w:rsidP="00F1487B">
            <w:pPr>
              <w:pStyle w:val="Lijstalinea"/>
              <w:numPr>
                <w:ilvl w:val="0"/>
                <w:numId w:val="2"/>
              </w:numPr>
              <w:spacing w:line="276" w:lineRule="auto"/>
              <w:contextualSpacing w:val="0"/>
              <w:jc w:val="center"/>
              <w:rPr>
                <w:rFonts w:cs="Arial"/>
              </w:rPr>
            </w:pPr>
          </w:p>
        </w:tc>
        <w:tc>
          <w:tcPr>
            <w:tcW w:w="8289" w:type="dxa"/>
          </w:tcPr>
          <w:p w14:paraId="0F6DB4C7" w14:textId="77777777" w:rsidR="00F1487B" w:rsidRPr="00EA7A4C" w:rsidRDefault="00F1487B" w:rsidP="00436FFD">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EA7A4C">
              <w:rPr>
                <w:rFonts w:cs="Arial"/>
              </w:rPr>
              <w:t>De verzekering dient te zijn onderworpen aan het Nederlands recht.</w:t>
            </w:r>
          </w:p>
        </w:tc>
      </w:tr>
      <w:tr w:rsidR="00F1487B" w:rsidRPr="00F760FB" w14:paraId="16006850" w14:textId="77777777" w:rsidTr="00436FFD">
        <w:trPr>
          <w:cantSplit/>
          <w:trHeight w:val="488"/>
        </w:trPr>
        <w:tc>
          <w:tcPr>
            <w:tcW w:w="637" w:type="dxa"/>
            <w:shd w:val="clear" w:color="auto" w:fill="auto"/>
          </w:tcPr>
          <w:p w14:paraId="3374AFCF" w14:textId="77777777" w:rsidR="00F1487B" w:rsidRPr="006F10D2" w:rsidRDefault="00F1487B" w:rsidP="00F1487B">
            <w:pPr>
              <w:pStyle w:val="Lijstalinea"/>
              <w:numPr>
                <w:ilvl w:val="0"/>
                <w:numId w:val="2"/>
              </w:numPr>
              <w:spacing w:line="276" w:lineRule="auto"/>
              <w:contextualSpacing w:val="0"/>
              <w:jc w:val="center"/>
              <w:rPr>
                <w:rFonts w:cs="Arial"/>
              </w:rPr>
            </w:pPr>
          </w:p>
        </w:tc>
        <w:tc>
          <w:tcPr>
            <w:tcW w:w="8289" w:type="dxa"/>
          </w:tcPr>
          <w:p w14:paraId="1E8957F7" w14:textId="77777777" w:rsidR="00F1487B" w:rsidRPr="00D94943" w:rsidRDefault="00F1487B" w:rsidP="00436FFD">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D94943">
              <w:rPr>
                <w:rFonts w:cs="Arial"/>
              </w:rPr>
              <w:t xml:space="preserve">De verzekering wordt aangegaan voor een termijn van drie jaar, ingaande op </w:t>
            </w:r>
            <w:r>
              <w:rPr>
                <w:rFonts w:cs="Arial"/>
                <w:b/>
                <w:bCs/>
              </w:rPr>
              <w:t>1</w:t>
            </w:r>
            <w:r w:rsidRPr="00081AEF">
              <w:rPr>
                <w:rFonts w:cs="Arial"/>
                <w:b/>
                <w:bCs/>
              </w:rPr>
              <w:t xml:space="preserve"> </w:t>
            </w:r>
            <w:r>
              <w:rPr>
                <w:rFonts w:cs="Arial"/>
                <w:b/>
                <w:bCs/>
              </w:rPr>
              <w:t>januari</w:t>
            </w:r>
            <w:r w:rsidRPr="00081AEF">
              <w:rPr>
                <w:rFonts w:cs="Arial"/>
                <w:b/>
                <w:bCs/>
              </w:rPr>
              <w:t xml:space="preserve"> 202</w:t>
            </w:r>
            <w:r>
              <w:rPr>
                <w:rFonts w:cs="Arial"/>
                <w:b/>
                <w:bCs/>
              </w:rPr>
              <w:t>4</w:t>
            </w:r>
            <w:r w:rsidRPr="00081AEF">
              <w:rPr>
                <w:rFonts w:cs="Arial"/>
                <w:b/>
                <w:bCs/>
              </w:rPr>
              <w:t xml:space="preserve"> en eindigend op </w:t>
            </w:r>
            <w:r>
              <w:rPr>
                <w:rFonts w:cs="Arial"/>
                <w:b/>
                <w:bCs/>
              </w:rPr>
              <w:t>1</w:t>
            </w:r>
            <w:r w:rsidRPr="00081AEF">
              <w:rPr>
                <w:rFonts w:cs="Arial"/>
                <w:b/>
                <w:bCs/>
              </w:rPr>
              <w:t xml:space="preserve"> </w:t>
            </w:r>
            <w:r>
              <w:rPr>
                <w:rFonts w:cs="Arial"/>
                <w:b/>
                <w:bCs/>
              </w:rPr>
              <w:t>januari</w:t>
            </w:r>
            <w:r w:rsidRPr="00081AEF">
              <w:rPr>
                <w:rFonts w:cs="Arial"/>
                <w:b/>
                <w:bCs/>
              </w:rPr>
              <w:t xml:space="preserve"> 202</w:t>
            </w:r>
            <w:r>
              <w:rPr>
                <w:rFonts w:cs="Arial"/>
                <w:b/>
                <w:bCs/>
              </w:rPr>
              <w:t>7</w:t>
            </w:r>
            <w:r w:rsidRPr="00D94943">
              <w:rPr>
                <w:rFonts w:cs="Arial"/>
              </w:rPr>
              <w:t xml:space="preserve"> </w:t>
            </w:r>
            <w:r w:rsidRPr="00D94943">
              <w:t xml:space="preserve">met daarna </w:t>
            </w:r>
            <w:r>
              <w:t xml:space="preserve">de </w:t>
            </w:r>
            <w:r w:rsidRPr="00D94943">
              <w:t xml:space="preserve">mogelijkheid </w:t>
            </w:r>
            <w:r>
              <w:t xml:space="preserve">om telkens 1 </w:t>
            </w:r>
            <w:r w:rsidRPr="00D94943">
              <w:t xml:space="preserve">jaar stilzwijgend te verlengen. Voor de verzekeraar geldt een opzegtermijn van </w:t>
            </w:r>
            <w:r>
              <w:t>6</w:t>
            </w:r>
            <w:r w:rsidRPr="00D94943">
              <w:t xml:space="preserve"> maanden voor de einddatum. De verzekeringnemer heeft een opzegtermijn van 2 maanden voor de einddatum.</w:t>
            </w:r>
          </w:p>
        </w:tc>
      </w:tr>
      <w:tr w:rsidR="00F1487B" w:rsidRPr="00F760FB" w14:paraId="0F07AA74" w14:textId="77777777" w:rsidTr="00436FFD">
        <w:trPr>
          <w:cantSplit/>
          <w:trHeight w:val="488"/>
        </w:trPr>
        <w:tc>
          <w:tcPr>
            <w:tcW w:w="637" w:type="dxa"/>
            <w:shd w:val="clear" w:color="auto" w:fill="auto"/>
          </w:tcPr>
          <w:p w14:paraId="28AE86C7" w14:textId="77777777" w:rsidR="00F1487B" w:rsidRPr="006F10D2" w:rsidRDefault="00F1487B" w:rsidP="00F1487B">
            <w:pPr>
              <w:pStyle w:val="Lijstalinea"/>
              <w:numPr>
                <w:ilvl w:val="0"/>
                <w:numId w:val="2"/>
              </w:numPr>
              <w:spacing w:line="276" w:lineRule="auto"/>
              <w:contextualSpacing w:val="0"/>
              <w:jc w:val="center"/>
              <w:rPr>
                <w:rFonts w:cs="Arial"/>
              </w:rPr>
            </w:pPr>
          </w:p>
        </w:tc>
        <w:tc>
          <w:tcPr>
            <w:tcW w:w="8289" w:type="dxa"/>
          </w:tcPr>
          <w:p w14:paraId="4A753F3C" w14:textId="77777777" w:rsidR="00F1487B" w:rsidRPr="006F6FC5" w:rsidRDefault="00F1487B" w:rsidP="00436FFD">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F24BC5">
              <w:rPr>
                <w:rFonts w:cs="Arial"/>
              </w:rPr>
              <w:t>Dekking voor aansprakelijkheid voor schade als het gevolg van, voortvloeiende uit en of in verband met activiteiten op het gebied van toezicht- en handhavingstaken op onder andere vergunningengebied bij bouw- en handhavingsbesluiten.</w:t>
            </w:r>
          </w:p>
        </w:tc>
      </w:tr>
      <w:tr w:rsidR="00F1487B" w:rsidRPr="00F760FB" w14:paraId="315F81CC" w14:textId="77777777" w:rsidTr="00436FFD">
        <w:trPr>
          <w:cantSplit/>
          <w:trHeight w:val="488"/>
        </w:trPr>
        <w:tc>
          <w:tcPr>
            <w:tcW w:w="637" w:type="dxa"/>
            <w:shd w:val="clear" w:color="auto" w:fill="auto"/>
          </w:tcPr>
          <w:p w14:paraId="3422ECD2" w14:textId="77777777" w:rsidR="00F1487B" w:rsidRPr="00AC2016" w:rsidRDefault="00F1487B" w:rsidP="00F1487B">
            <w:pPr>
              <w:pStyle w:val="Lijstalinea"/>
              <w:numPr>
                <w:ilvl w:val="0"/>
                <w:numId w:val="2"/>
              </w:numPr>
              <w:spacing w:line="276" w:lineRule="auto"/>
              <w:contextualSpacing w:val="0"/>
              <w:jc w:val="center"/>
              <w:rPr>
                <w:rFonts w:cs="Arial"/>
              </w:rPr>
            </w:pPr>
          </w:p>
        </w:tc>
        <w:tc>
          <w:tcPr>
            <w:tcW w:w="8289" w:type="dxa"/>
          </w:tcPr>
          <w:p w14:paraId="3AE41579" w14:textId="77777777" w:rsidR="00F1487B" w:rsidRPr="00703E88" w:rsidRDefault="00F1487B" w:rsidP="00436FFD">
            <w:r w:rsidRPr="00703E88">
              <w:t xml:space="preserve">Aan de lijst van verzekerden </w:t>
            </w:r>
            <w:r>
              <w:t xml:space="preserve">conform gebruikelijke polisvoorwaarden </w:t>
            </w:r>
            <w:r w:rsidRPr="00703E88">
              <w:t xml:space="preserve">voor de aansprakelijkheidsverzekering dient te zijn toegevoegd: </w:t>
            </w:r>
          </w:p>
          <w:p w14:paraId="5B188CFC" w14:textId="77777777" w:rsidR="00F1487B" w:rsidRPr="00703E88" w:rsidRDefault="00F1487B" w:rsidP="00436FFD">
            <w:pPr>
              <w:pStyle w:val="Lijstalinea"/>
              <w:ind w:left="360"/>
            </w:pPr>
          </w:p>
          <w:p w14:paraId="57E58B11" w14:textId="77777777" w:rsidR="00F1487B" w:rsidRPr="00703E88" w:rsidRDefault="00F1487B" w:rsidP="00F1487B">
            <w:pPr>
              <w:pStyle w:val="Lijstalinea"/>
              <w:numPr>
                <w:ilvl w:val="0"/>
                <w:numId w:val="4"/>
              </w:numPr>
              <w:ind w:left="360"/>
            </w:pPr>
            <w:r w:rsidRPr="00703E88">
              <w:t xml:space="preserve">Personen die op grond van de Participatiewet of andere gronden werkzaamheden verrichten ten behoeve van de </w:t>
            </w:r>
            <w:r>
              <w:t>gemeente Beuningen</w:t>
            </w:r>
            <w:r w:rsidRPr="00703E88">
              <w:t xml:space="preserve"> of een ander bedrijf. Dit betreft bijvoorbeeld re-integratiekandidaten en bijstandsgerechtigden die een tegenprestatie leveren (praktijkervaringsplek)</w:t>
            </w:r>
          </w:p>
          <w:p w14:paraId="1C14FE1E" w14:textId="77777777" w:rsidR="00F1487B" w:rsidRPr="00703E88" w:rsidRDefault="00F1487B" w:rsidP="00436FFD">
            <w:pPr>
              <w:pStyle w:val="Lijstalinea"/>
              <w:ind w:left="360"/>
            </w:pPr>
          </w:p>
          <w:p w14:paraId="6C6590CC" w14:textId="77777777" w:rsidR="00F1487B" w:rsidRPr="00703E88" w:rsidRDefault="00F1487B" w:rsidP="00F1487B">
            <w:pPr>
              <w:pStyle w:val="Lijstalinea"/>
              <w:numPr>
                <w:ilvl w:val="0"/>
                <w:numId w:val="4"/>
              </w:numPr>
              <w:ind w:left="360"/>
            </w:pPr>
            <w:r w:rsidRPr="00703E88">
              <w:t>De bedrijven/instellingen in verband met de werkzaamheden die deze personen bij hen verrichten, voor zover niet elders verzekerd.</w:t>
            </w:r>
          </w:p>
          <w:p w14:paraId="0F70E264" w14:textId="77777777" w:rsidR="00F1487B" w:rsidRPr="00DE3FB2" w:rsidRDefault="00F1487B" w:rsidP="00436FFD">
            <w:pPr>
              <w:pStyle w:val="Lijstalinea"/>
              <w:ind w:left="360"/>
            </w:pPr>
          </w:p>
          <w:p w14:paraId="78A9C89A" w14:textId="77777777" w:rsidR="00F1487B" w:rsidRPr="00703E88" w:rsidRDefault="00F1487B" w:rsidP="00436FFD">
            <w:pPr>
              <w:pStyle w:val="Lijstalinea"/>
              <w:numPr>
                <w:ilvl w:val="0"/>
                <w:numId w:val="1"/>
              </w:numPr>
            </w:pPr>
            <w:r w:rsidRPr="1333DF92">
              <w:t>Voor bovenstaande verzekerden is de dekking secundair en omvat:</w:t>
            </w:r>
          </w:p>
          <w:p w14:paraId="2481B794" w14:textId="77777777" w:rsidR="00F1487B" w:rsidRDefault="00F1487B" w:rsidP="00F1487B">
            <w:pPr>
              <w:pStyle w:val="Lijstalinea"/>
              <w:numPr>
                <w:ilvl w:val="0"/>
                <w:numId w:val="4"/>
              </w:numPr>
            </w:pPr>
            <w:r w:rsidRPr="1333DF92">
              <w:t>dekking van werkgeversaansprakelijkheid voor personen- en/of zaakschade van derden veroorzaakt door de medewerker;</w:t>
            </w:r>
          </w:p>
          <w:p w14:paraId="1F6C7784" w14:textId="77777777" w:rsidR="00F1487B" w:rsidRPr="007F32EE" w:rsidRDefault="00F1487B" w:rsidP="00F1487B">
            <w:pPr>
              <w:pStyle w:val="Lijstalinea"/>
              <w:numPr>
                <w:ilvl w:val="0"/>
                <w:numId w:val="4"/>
              </w:numPr>
            </w:pPr>
            <w:r w:rsidRPr="1333DF92">
              <w:t>Niet verzekerd is de aansprakelijkheid voor schade aan zaken van de bedrijven/instellingen waar de vrijwilligers/praktijk-</w:t>
            </w:r>
            <w:proofErr w:type="spellStart"/>
            <w:r w:rsidRPr="1333DF92">
              <w:t>ervaringnemers</w:t>
            </w:r>
            <w:proofErr w:type="spellEnd"/>
            <w:r w:rsidRPr="1333DF92">
              <w:t xml:space="preserve">/-arbeidscontractanten hun activiteiten verrichten. </w:t>
            </w:r>
          </w:p>
          <w:p w14:paraId="1F31D91F" w14:textId="77777777" w:rsidR="00F1487B" w:rsidRPr="007F32EE" w:rsidRDefault="00F1487B" w:rsidP="00F1487B">
            <w:pPr>
              <w:pStyle w:val="Lijstalinea"/>
              <w:numPr>
                <w:ilvl w:val="0"/>
                <w:numId w:val="4"/>
              </w:numPr>
            </w:pPr>
            <w:r w:rsidRPr="1333DF92">
              <w:t xml:space="preserve">Het eigen risico van de elders lopende polissen wordt niet vergoed. </w:t>
            </w:r>
          </w:p>
          <w:p w14:paraId="56634FC1" w14:textId="77777777" w:rsidR="00F1487B" w:rsidRPr="00703E88" w:rsidRDefault="00F1487B" w:rsidP="00436FFD">
            <w:pPr>
              <w:pStyle w:val="Lijstalinea"/>
              <w:ind w:left="0"/>
            </w:pPr>
          </w:p>
          <w:p w14:paraId="3AF7829E" w14:textId="77777777" w:rsidR="00F1487B" w:rsidRPr="00042AB7" w:rsidRDefault="00F1487B" w:rsidP="00F1487B">
            <w:pPr>
              <w:pStyle w:val="Lijstalinea"/>
              <w:numPr>
                <w:ilvl w:val="0"/>
                <w:numId w:val="4"/>
              </w:numPr>
              <w:ind w:left="360"/>
            </w:pPr>
            <w:r w:rsidRPr="1333DF92">
              <w:t>Andere medeverzekerde(n):</w:t>
            </w:r>
            <w:r>
              <w:br/>
            </w:r>
          </w:p>
          <w:p w14:paraId="445AC9A1" w14:textId="77777777" w:rsidR="00F1487B" w:rsidRPr="00703E88" w:rsidRDefault="00F1487B" w:rsidP="00F1487B">
            <w:pPr>
              <w:pStyle w:val="Lijstalinea"/>
              <w:numPr>
                <w:ilvl w:val="1"/>
                <w:numId w:val="4"/>
              </w:numPr>
            </w:pPr>
            <w:r w:rsidRPr="1333DF92">
              <w:t xml:space="preserve">Bijzondere opsporingsambtenaren, voor zover zij werkzaamheden in opdracht van de aanbestedende dienst verrichten. </w:t>
            </w:r>
          </w:p>
          <w:p w14:paraId="69F60458" w14:textId="77777777" w:rsidR="00F1487B" w:rsidRDefault="00F1487B" w:rsidP="00F1487B">
            <w:pPr>
              <w:pStyle w:val="Lijstalinea"/>
              <w:numPr>
                <w:ilvl w:val="1"/>
                <w:numId w:val="4"/>
              </w:numPr>
            </w:pPr>
            <w:r w:rsidRPr="1333DF92">
              <w:t>Personen die door de gemeente worden opgevangen volgens de Gemeentelijk Opvang Oekraïners (GOO) alsmede de vrijwilligers die zich met de opvang bezighouden.</w:t>
            </w:r>
          </w:p>
          <w:p w14:paraId="1E11A286" w14:textId="77777777" w:rsidR="00F1487B" w:rsidRDefault="00F1487B" w:rsidP="00F1487B">
            <w:pPr>
              <w:pStyle w:val="Lijstalinea"/>
              <w:numPr>
                <w:ilvl w:val="1"/>
                <w:numId w:val="4"/>
              </w:numPr>
            </w:pPr>
            <w:r w:rsidRPr="1333DF92">
              <w:t>Personen die door de gemeente worden opgevangen volgens de Regeling Opvang Asielzoekers (ROA) alsmede de vrijwilligers die zich hiermee bezighouden.</w:t>
            </w:r>
          </w:p>
          <w:p w14:paraId="2594C081" w14:textId="77777777" w:rsidR="00F1487B" w:rsidRPr="00042AB7" w:rsidRDefault="00F1487B" w:rsidP="00F1487B">
            <w:pPr>
              <w:pStyle w:val="Lijstalinea"/>
              <w:numPr>
                <w:ilvl w:val="1"/>
                <w:numId w:val="4"/>
              </w:numPr>
            </w:pPr>
            <w:r w:rsidRPr="1333DF92">
              <w:t xml:space="preserve">Personen in dienst van de gemeente die elders zijn gedetacheerd. Deze dekking is secundair. </w:t>
            </w:r>
          </w:p>
          <w:p w14:paraId="56A9D5D3" w14:textId="77777777" w:rsidR="00F1487B" w:rsidRPr="00042AB7" w:rsidRDefault="00F1487B" w:rsidP="00436FFD">
            <w:pPr>
              <w:pStyle w:val="Lijstalinea"/>
            </w:pPr>
          </w:p>
          <w:p w14:paraId="4C7CEC00" w14:textId="77777777" w:rsidR="00F1487B" w:rsidRPr="00703E88" w:rsidRDefault="00F1487B" w:rsidP="00F1487B">
            <w:pPr>
              <w:pStyle w:val="Lijstalinea"/>
              <w:numPr>
                <w:ilvl w:val="0"/>
                <w:numId w:val="4"/>
              </w:numPr>
              <w:ind w:left="360"/>
            </w:pPr>
            <w:r>
              <w:t>Stichting voor Reactie, Sport en Lichamelijke Opvoeding.</w:t>
            </w:r>
          </w:p>
          <w:p w14:paraId="6F768880" w14:textId="77777777" w:rsidR="00F1487B" w:rsidRPr="00042AB7" w:rsidRDefault="00F1487B" w:rsidP="00436FFD"/>
        </w:tc>
      </w:tr>
      <w:tr w:rsidR="00F1487B" w:rsidRPr="00F760FB" w14:paraId="08F8648C" w14:textId="77777777" w:rsidTr="00436FFD">
        <w:trPr>
          <w:cantSplit/>
          <w:trHeight w:val="488"/>
        </w:trPr>
        <w:tc>
          <w:tcPr>
            <w:tcW w:w="637" w:type="dxa"/>
            <w:shd w:val="clear" w:color="auto" w:fill="auto"/>
          </w:tcPr>
          <w:p w14:paraId="38034D25" w14:textId="77777777" w:rsidR="00F1487B" w:rsidRPr="00AC2016" w:rsidRDefault="00F1487B" w:rsidP="00F1487B">
            <w:pPr>
              <w:pStyle w:val="Lijstalinea"/>
              <w:numPr>
                <w:ilvl w:val="0"/>
                <w:numId w:val="2"/>
              </w:numPr>
              <w:spacing w:line="276" w:lineRule="auto"/>
              <w:contextualSpacing w:val="0"/>
              <w:jc w:val="center"/>
              <w:rPr>
                <w:rFonts w:cs="Arial"/>
              </w:rPr>
            </w:pPr>
          </w:p>
        </w:tc>
        <w:tc>
          <w:tcPr>
            <w:tcW w:w="8289" w:type="dxa"/>
          </w:tcPr>
          <w:p w14:paraId="71B35CB4" w14:textId="77777777" w:rsidR="00F1487B" w:rsidRPr="004606BB" w:rsidRDefault="00F1487B" w:rsidP="00436FFD">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Pr>
                <w:rFonts w:cs="Arial"/>
              </w:rPr>
              <w:t>Dekking Burgermeester in zijn hoedanigheid als gezagsdrager van de politie, voor zover niet verzekerd op de polis van de Regiopolitie.</w:t>
            </w:r>
          </w:p>
        </w:tc>
      </w:tr>
      <w:tr w:rsidR="00F1487B" w:rsidRPr="00F760FB" w14:paraId="2EC7FE9F" w14:textId="77777777" w:rsidTr="00436FFD">
        <w:trPr>
          <w:cantSplit/>
          <w:trHeight w:val="488"/>
        </w:trPr>
        <w:tc>
          <w:tcPr>
            <w:tcW w:w="637" w:type="dxa"/>
            <w:shd w:val="clear" w:color="auto" w:fill="auto"/>
          </w:tcPr>
          <w:p w14:paraId="3C360BC7" w14:textId="77777777" w:rsidR="00F1487B" w:rsidRPr="00AC2016" w:rsidRDefault="00F1487B" w:rsidP="00F1487B">
            <w:pPr>
              <w:pStyle w:val="Lijstalinea"/>
              <w:numPr>
                <w:ilvl w:val="0"/>
                <w:numId w:val="2"/>
              </w:numPr>
              <w:spacing w:line="276" w:lineRule="auto"/>
              <w:contextualSpacing w:val="0"/>
              <w:jc w:val="center"/>
              <w:rPr>
                <w:rFonts w:cs="Arial"/>
              </w:rPr>
            </w:pPr>
          </w:p>
        </w:tc>
        <w:tc>
          <w:tcPr>
            <w:tcW w:w="8289" w:type="dxa"/>
          </w:tcPr>
          <w:p w14:paraId="006E9EA0" w14:textId="77777777" w:rsidR="00F1487B" w:rsidRPr="00EA7A4C" w:rsidRDefault="00F1487B" w:rsidP="00436FFD">
            <w:pPr>
              <w:tabs>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1333DF92">
              <w:rPr>
                <w:rFonts w:cs="Arial"/>
              </w:rPr>
              <w:t>Milieuaantasting: verzekerd dient de zijn de aansprakelijkheid van verzekerden voor door derden geleden personen- of zaakschade als gevolg van of verband houdend met een milieuaantasting die ontstaan is door een plotseling, onvoorzienbaar, van buiten komend onheil waarvoor verzekerde in haar hoedanigheid aansprakelijk is. Tevens zijn gedekt de kosten die verbonden zijn aan het nemen van maatregelen om het onmiddellijk dreigend gevaar van schade op te heffen of de omvang van schade aan het milieu te beperken (bereddingskosten).</w:t>
            </w:r>
          </w:p>
        </w:tc>
      </w:tr>
      <w:tr w:rsidR="00F1487B" w:rsidRPr="00F760FB" w14:paraId="55957105" w14:textId="77777777" w:rsidTr="00436FFD">
        <w:trPr>
          <w:cantSplit/>
          <w:trHeight w:val="488"/>
        </w:trPr>
        <w:tc>
          <w:tcPr>
            <w:tcW w:w="637" w:type="dxa"/>
            <w:shd w:val="clear" w:color="auto" w:fill="auto"/>
          </w:tcPr>
          <w:p w14:paraId="497FF0D4" w14:textId="77777777" w:rsidR="00F1487B" w:rsidRPr="006F10D2" w:rsidRDefault="00F1487B" w:rsidP="00F1487B">
            <w:pPr>
              <w:pStyle w:val="Lijstalinea"/>
              <w:numPr>
                <w:ilvl w:val="0"/>
                <w:numId w:val="2"/>
              </w:numPr>
              <w:spacing w:line="276" w:lineRule="auto"/>
              <w:contextualSpacing w:val="0"/>
              <w:jc w:val="center"/>
              <w:rPr>
                <w:rFonts w:cs="Arial"/>
              </w:rPr>
            </w:pPr>
          </w:p>
        </w:tc>
        <w:tc>
          <w:tcPr>
            <w:tcW w:w="8289" w:type="dxa"/>
          </w:tcPr>
          <w:p w14:paraId="4C46DCE7" w14:textId="77777777" w:rsidR="00F1487B" w:rsidRPr="00EA7A4C" w:rsidRDefault="00F1487B" w:rsidP="00436FFD">
            <w:pPr>
              <w:tabs>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1333DF92">
              <w:rPr>
                <w:rFonts w:cs="Arial"/>
              </w:rPr>
              <w:t>Dekking voor het aansprakelijkheidsrisico van de gemeente, als opdrachtgever of werkgever van personen die op verzoek van of verband houdend met de veiligheidsregio werkzaamheden uitvoeren. Dit indien, en voor zover, de aansprakelijkheidsverzekering van de Veiligheidsregio hiervoor geen dekking biedt.</w:t>
            </w:r>
          </w:p>
        </w:tc>
      </w:tr>
      <w:tr w:rsidR="00F1487B" w:rsidRPr="00F760FB" w14:paraId="38E2B665" w14:textId="77777777" w:rsidTr="00436FFD">
        <w:trPr>
          <w:cantSplit/>
          <w:trHeight w:val="488"/>
        </w:trPr>
        <w:tc>
          <w:tcPr>
            <w:tcW w:w="637" w:type="dxa"/>
            <w:shd w:val="clear" w:color="auto" w:fill="auto"/>
          </w:tcPr>
          <w:p w14:paraId="611DA442" w14:textId="77777777" w:rsidR="00F1487B" w:rsidRPr="006F10D2" w:rsidRDefault="00F1487B" w:rsidP="00F1487B">
            <w:pPr>
              <w:pStyle w:val="Lijstalinea"/>
              <w:numPr>
                <w:ilvl w:val="0"/>
                <w:numId w:val="2"/>
              </w:numPr>
              <w:spacing w:line="276" w:lineRule="auto"/>
              <w:contextualSpacing w:val="0"/>
              <w:jc w:val="center"/>
              <w:rPr>
                <w:rFonts w:cs="Arial"/>
              </w:rPr>
            </w:pPr>
          </w:p>
        </w:tc>
        <w:tc>
          <w:tcPr>
            <w:tcW w:w="8289" w:type="dxa"/>
          </w:tcPr>
          <w:p w14:paraId="493350D7" w14:textId="77777777" w:rsidR="00F1487B" w:rsidRDefault="00F1487B" w:rsidP="00436FFD">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EA7A4C">
              <w:rPr>
                <w:rFonts w:cs="Arial"/>
              </w:rPr>
              <w:t xml:space="preserve">Dekking van aansprakelijkheid van de </w:t>
            </w:r>
            <w:r>
              <w:rPr>
                <w:rFonts w:cs="Arial"/>
              </w:rPr>
              <w:t>gemeente Beuningen</w:t>
            </w:r>
            <w:r w:rsidRPr="00EA7A4C">
              <w:rPr>
                <w:rFonts w:cs="Arial"/>
              </w:rPr>
              <w:t xml:space="preserve"> voortvloeiend uit samenwerking met andere </w:t>
            </w:r>
            <w:r>
              <w:rPr>
                <w:rFonts w:cs="Arial"/>
              </w:rPr>
              <w:t>gemeenten</w:t>
            </w:r>
            <w:r w:rsidRPr="00EA7A4C">
              <w:rPr>
                <w:rFonts w:cs="Arial"/>
              </w:rPr>
              <w:t xml:space="preserve">, </w:t>
            </w:r>
            <w:r>
              <w:rPr>
                <w:rFonts w:cs="Arial"/>
              </w:rPr>
              <w:t>gemeente</w:t>
            </w:r>
            <w:r w:rsidRPr="00EA7A4C">
              <w:rPr>
                <w:rFonts w:cs="Arial"/>
              </w:rPr>
              <w:t>s en (Rijks)overheid voor zover de samenwerking verband houdt met de uitvoering van de publieke taak van de samenwerkende partijen.</w:t>
            </w:r>
            <w:r>
              <w:rPr>
                <w:rFonts w:cs="Arial"/>
              </w:rPr>
              <w:t xml:space="preserve"> </w:t>
            </w:r>
          </w:p>
          <w:p w14:paraId="50B13247" w14:textId="77777777" w:rsidR="00F1487B" w:rsidRPr="00EA7A4C" w:rsidRDefault="00F1487B" w:rsidP="00436FFD">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752035">
              <w:rPr>
                <w:rFonts w:cs="Arial"/>
              </w:rPr>
              <w:t>Secundair dient meeverzekerd te zijn; aansprakelijkheid voortvloeiende uit gemeenschappelijke regelingen.</w:t>
            </w:r>
          </w:p>
        </w:tc>
      </w:tr>
      <w:tr w:rsidR="00F1487B" w:rsidRPr="00F760FB" w14:paraId="51D0C9DC" w14:textId="77777777" w:rsidTr="00436FFD">
        <w:trPr>
          <w:cantSplit/>
          <w:trHeight w:val="488"/>
        </w:trPr>
        <w:tc>
          <w:tcPr>
            <w:tcW w:w="637" w:type="dxa"/>
            <w:shd w:val="clear" w:color="auto" w:fill="auto"/>
          </w:tcPr>
          <w:p w14:paraId="6C7C0A0B" w14:textId="77777777" w:rsidR="00F1487B" w:rsidRPr="006F10D2" w:rsidRDefault="00F1487B" w:rsidP="00F1487B">
            <w:pPr>
              <w:pStyle w:val="Lijstalinea"/>
              <w:numPr>
                <w:ilvl w:val="0"/>
                <w:numId w:val="2"/>
              </w:numPr>
              <w:spacing w:line="276" w:lineRule="auto"/>
              <w:contextualSpacing w:val="0"/>
              <w:jc w:val="center"/>
              <w:rPr>
                <w:rFonts w:cs="Arial"/>
              </w:rPr>
            </w:pPr>
          </w:p>
        </w:tc>
        <w:tc>
          <w:tcPr>
            <w:tcW w:w="8289" w:type="dxa"/>
          </w:tcPr>
          <w:p w14:paraId="6D9A4187" w14:textId="77777777" w:rsidR="00F1487B" w:rsidRPr="00EA7A4C" w:rsidRDefault="00F1487B" w:rsidP="00436FFD">
            <w:pPr>
              <w:tabs>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1333DF92">
              <w:rPr>
                <w:rFonts w:cs="Arial"/>
              </w:rPr>
              <w:t>Asbest/Chroom-6 risico: Aansprakelijkheid van verzekerde voor directe en/of indirecte schade die voortvloeit uit, berust op en /of verband houdt met het gebruik van, het blootstellen aan of het op enige andere wijze contact komen met asbest, asbestvezels, asbeststof en/of asbesthoudende materialen en/of Chroom 6 houdende materialen voor een verzekerd bedrag van minimaal EUR 150.000 per aanspraak en maximaal per verzekeringsjaar.</w:t>
            </w:r>
          </w:p>
        </w:tc>
      </w:tr>
      <w:tr w:rsidR="00F1487B" w:rsidRPr="00F760FB" w14:paraId="3D29EFCA" w14:textId="77777777" w:rsidTr="00436FFD">
        <w:trPr>
          <w:cantSplit/>
          <w:trHeight w:val="488"/>
        </w:trPr>
        <w:tc>
          <w:tcPr>
            <w:tcW w:w="637" w:type="dxa"/>
            <w:shd w:val="clear" w:color="auto" w:fill="auto"/>
          </w:tcPr>
          <w:p w14:paraId="51DCD377" w14:textId="77777777" w:rsidR="00F1487B" w:rsidRPr="006F10D2" w:rsidRDefault="00F1487B" w:rsidP="00F1487B">
            <w:pPr>
              <w:pStyle w:val="Lijstalinea"/>
              <w:numPr>
                <w:ilvl w:val="0"/>
                <w:numId w:val="2"/>
              </w:numPr>
              <w:spacing w:line="276" w:lineRule="auto"/>
              <w:contextualSpacing w:val="0"/>
              <w:jc w:val="center"/>
              <w:rPr>
                <w:rFonts w:cs="Arial"/>
              </w:rPr>
            </w:pPr>
          </w:p>
        </w:tc>
        <w:tc>
          <w:tcPr>
            <w:tcW w:w="8289" w:type="dxa"/>
          </w:tcPr>
          <w:p w14:paraId="1FA94E34" w14:textId="77777777" w:rsidR="00F1487B" w:rsidRPr="00752035" w:rsidRDefault="00F1487B" w:rsidP="00436FFD">
            <w:pPr>
              <w:tabs>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t xml:space="preserve">Proceskostendekking artikel 8:75 en 8:75a </w:t>
            </w:r>
            <w:proofErr w:type="spellStart"/>
            <w:r>
              <w:t>Awb</w:t>
            </w:r>
            <w:proofErr w:type="spellEnd"/>
            <w:r>
              <w:t xml:space="preserve">: Verzekerd is de vergoeding van proceskosten waartoe verzekerde op grond van de artikelen 8:75 en 8:75a Algemene Wet Bestuursrecht is veroordeeld, indien een besluit in beroep wordt vernietigd dan wel indien een besluit voordat daarover in beroep is beslist, wordt gewijzigd. Op de vergoeding wordt het eigen risico in mindering gebracht. De proceskosten zijn als een bijzondere uitbreiding meeverzekerd tot een maximum van EUR 25.000,00 per aanspraak en maximaal               EUR 50.000,00 per verzekeringsjaar als onderdeel van het verzekerd bedrag op het </w:t>
            </w:r>
            <w:proofErr w:type="spellStart"/>
            <w:r>
              <w:t>polisblad</w:t>
            </w:r>
            <w:proofErr w:type="spellEnd"/>
            <w:r>
              <w:t xml:space="preserve"> voor Vermogensschade. Dit zijn dus proceskosten die alleen betrekking hebben op bestuursrechtelijke procedures ter zake schadevergoeding op grond van de polis.</w:t>
            </w:r>
          </w:p>
        </w:tc>
      </w:tr>
      <w:tr w:rsidR="00F1487B" w:rsidRPr="00F760FB" w14:paraId="5E7C7BA6" w14:textId="77777777" w:rsidTr="00436FFD">
        <w:trPr>
          <w:cantSplit/>
          <w:trHeight w:val="488"/>
        </w:trPr>
        <w:tc>
          <w:tcPr>
            <w:tcW w:w="637" w:type="dxa"/>
            <w:shd w:val="clear" w:color="auto" w:fill="auto"/>
          </w:tcPr>
          <w:p w14:paraId="0CE0FC7E" w14:textId="77777777" w:rsidR="00F1487B" w:rsidRPr="006F10D2" w:rsidRDefault="00F1487B" w:rsidP="00F1487B">
            <w:pPr>
              <w:pStyle w:val="Lijstalinea"/>
              <w:numPr>
                <w:ilvl w:val="0"/>
                <w:numId w:val="2"/>
              </w:numPr>
              <w:spacing w:line="276" w:lineRule="auto"/>
              <w:contextualSpacing w:val="0"/>
              <w:jc w:val="center"/>
              <w:rPr>
                <w:rFonts w:cs="Arial"/>
              </w:rPr>
            </w:pPr>
          </w:p>
        </w:tc>
        <w:tc>
          <w:tcPr>
            <w:tcW w:w="8289" w:type="dxa"/>
          </w:tcPr>
          <w:p w14:paraId="2E4314AA" w14:textId="77777777" w:rsidR="00F1487B" w:rsidRPr="00EA7A4C" w:rsidRDefault="00F1487B" w:rsidP="00436FFD">
            <w:pPr>
              <w:tabs>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1333DF92">
              <w:rPr>
                <w:rFonts w:cs="Arial"/>
              </w:rPr>
              <w:t xml:space="preserve">Dekking voor verhuur onroerende zaken: verzekerd is het aansprakelijkheidsrisico van de gemeente als verhuurder of </w:t>
            </w:r>
            <w:proofErr w:type="spellStart"/>
            <w:r w:rsidRPr="1333DF92">
              <w:rPr>
                <w:rFonts w:cs="Arial"/>
              </w:rPr>
              <w:t>ingebruikgever</w:t>
            </w:r>
            <w:proofErr w:type="spellEnd"/>
            <w:r w:rsidRPr="1333DF92">
              <w:rPr>
                <w:rFonts w:cs="Arial"/>
              </w:rPr>
              <w:t xml:space="preserve"> van panden voor schade aan zaken die door huurders/gebruikers zijn aangebracht en deel zijn gaan uitmaken van de door de gemeente verhuurde/in gebruik gegeven panden (huurdersbelang).</w:t>
            </w:r>
          </w:p>
        </w:tc>
      </w:tr>
      <w:tr w:rsidR="00F1487B" w:rsidRPr="00F760FB" w14:paraId="55F5DDF5" w14:textId="77777777" w:rsidTr="00436FFD">
        <w:trPr>
          <w:cantSplit/>
          <w:trHeight w:val="488"/>
        </w:trPr>
        <w:tc>
          <w:tcPr>
            <w:tcW w:w="637" w:type="dxa"/>
            <w:shd w:val="clear" w:color="auto" w:fill="auto"/>
          </w:tcPr>
          <w:p w14:paraId="68A06A7E" w14:textId="77777777" w:rsidR="00F1487B" w:rsidRPr="006F10D2" w:rsidRDefault="00F1487B" w:rsidP="00F1487B">
            <w:pPr>
              <w:pStyle w:val="Lijstalinea"/>
              <w:numPr>
                <w:ilvl w:val="0"/>
                <w:numId w:val="2"/>
              </w:numPr>
              <w:spacing w:line="276" w:lineRule="auto"/>
              <w:contextualSpacing w:val="0"/>
              <w:jc w:val="center"/>
              <w:rPr>
                <w:rFonts w:cs="Arial"/>
              </w:rPr>
            </w:pPr>
          </w:p>
        </w:tc>
        <w:tc>
          <w:tcPr>
            <w:tcW w:w="8289" w:type="dxa"/>
          </w:tcPr>
          <w:p w14:paraId="6D223FC8" w14:textId="77777777" w:rsidR="00F1487B" w:rsidRPr="00EA7A4C" w:rsidRDefault="00F1487B" w:rsidP="00436FFD">
            <w:pPr>
              <w:tabs>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1333DF92">
              <w:rPr>
                <w:rFonts w:cs="Arial"/>
              </w:rPr>
              <w:t xml:space="preserve">Dekking voor werkgeversaansprakelijkheid op grond van 7:611 BW voor zover de </w:t>
            </w:r>
            <w:r>
              <w:rPr>
                <w:rFonts w:cs="Arial"/>
              </w:rPr>
              <w:t>gemeente Beuningen</w:t>
            </w:r>
            <w:r w:rsidRPr="1333DF92">
              <w:rPr>
                <w:rFonts w:cs="Arial"/>
              </w:rPr>
              <w:t xml:space="preserve"> op grond van een rechterlijke uitspraak verplicht wordt/is uitkeringen te doen aan een werknemer wegens een tekort schieten in haar zorgplicht.</w:t>
            </w:r>
          </w:p>
        </w:tc>
      </w:tr>
      <w:tr w:rsidR="00F1487B" w:rsidRPr="00F760FB" w14:paraId="68B19677" w14:textId="77777777" w:rsidTr="00436FFD">
        <w:trPr>
          <w:cantSplit/>
          <w:trHeight w:val="488"/>
        </w:trPr>
        <w:tc>
          <w:tcPr>
            <w:tcW w:w="637" w:type="dxa"/>
            <w:shd w:val="clear" w:color="auto" w:fill="auto"/>
          </w:tcPr>
          <w:p w14:paraId="5450D50C" w14:textId="77777777" w:rsidR="00F1487B" w:rsidRPr="006F10D2" w:rsidRDefault="00F1487B" w:rsidP="00F1487B">
            <w:pPr>
              <w:pStyle w:val="Lijstalinea"/>
              <w:numPr>
                <w:ilvl w:val="0"/>
                <w:numId w:val="2"/>
              </w:numPr>
              <w:spacing w:line="276" w:lineRule="auto"/>
              <w:contextualSpacing w:val="0"/>
              <w:jc w:val="center"/>
              <w:rPr>
                <w:rFonts w:cs="Arial"/>
              </w:rPr>
            </w:pPr>
          </w:p>
        </w:tc>
        <w:tc>
          <w:tcPr>
            <w:tcW w:w="8289" w:type="dxa"/>
          </w:tcPr>
          <w:p w14:paraId="3C0A0D6B" w14:textId="77777777" w:rsidR="00F1487B" w:rsidRPr="004606BB" w:rsidRDefault="00F1487B" w:rsidP="00436FFD">
            <w:pPr>
              <w:tabs>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1333DF92">
              <w:rPr>
                <w:rFonts w:cs="Arial"/>
              </w:rPr>
              <w:t xml:space="preserve">Decentralisaties Sociaal Domein: de verzekering dient dekking te bieden voor de risico’s die verband houden met de uitvoering van de ZVW, </w:t>
            </w:r>
            <w:proofErr w:type="spellStart"/>
            <w:r w:rsidRPr="1333DF92">
              <w:rPr>
                <w:rFonts w:cs="Arial"/>
              </w:rPr>
              <w:t>Wlz</w:t>
            </w:r>
            <w:proofErr w:type="spellEnd"/>
            <w:r w:rsidRPr="1333DF92">
              <w:rPr>
                <w:rFonts w:cs="Arial"/>
              </w:rPr>
              <w:t xml:space="preserve">, WMO, Jeugdzorg en Participatiewet waarvoor de </w:t>
            </w:r>
            <w:r>
              <w:rPr>
                <w:rFonts w:cs="Arial"/>
              </w:rPr>
              <w:t>gemeente Beuningen</w:t>
            </w:r>
            <w:r w:rsidRPr="1333DF92">
              <w:rPr>
                <w:rFonts w:cs="Arial"/>
              </w:rPr>
              <w:t xml:space="preserve"> aansprakelijk gehouden wordt. Dit zowel in het geval dat het risico volgt uit regionale samenwerking als in het geval dat voor de uitvoering van deze taken een gemeenschappelijke regeling is opgericht waarin de </w:t>
            </w:r>
            <w:r>
              <w:rPr>
                <w:rFonts w:cs="Arial"/>
              </w:rPr>
              <w:t>gemeente Beuningen</w:t>
            </w:r>
            <w:r w:rsidRPr="1333DF92">
              <w:rPr>
                <w:rFonts w:cs="Arial"/>
              </w:rPr>
              <w:t xml:space="preserve"> deelneemt.</w:t>
            </w:r>
          </w:p>
        </w:tc>
      </w:tr>
      <w:tr w:rsidR="00F1487B" w:rsidRPr="00F760FB" w14:paraId="1B6F880A" w14:textId="77777777" w:rsidTr="00436FFD">
        <w:trPr>
          <w:cantSplit/>
          <w:trHeight w:val="488"/>
        </w:trPr>
        <w:tc>
          <w:tcPr>
            <w:tcW w:w="637" w:type="dxa"/>
            <w:shd w:val="clear" w:color="auto" w:fill="auto"/>
          </w:tcPr>
          <w:p w14:paraId="7FE62FD7" w14:textId="77777777" w:rsidR="00F1487B" w:rsidRPr="006F10D2" w:rsidRDefault="00F1487B" w:rsidP="00F1487B">
            <w:pPr>
              <w:pStyle w:val="Lijstalinea"/>
              <w:numPr>
                <w:ilvl w:val="0"/>
                <w:numId w:val="2"/>
              </w:numPr>
              <w:spacing w:line="276" w:lineRule="auto"/>
              <w:contextualSpacing w:val="0"/>
              <w:jc w:val="center"/>
              <w:rPr>
                <w:rFonts w:cs="Arial"/>
              </w:rPr>
            </w:pPr>
          </w:p>
        </w:tc>
        <w:tc>
          <w:tcPr>
            <w:tcW w:w="8289" w:type="dxa"/>
          </w:tcPr>
          <w:p w14:paraId="3CC6386D" w14:textId="77777777" w:rsidR="00F1487B" w:rsidRPr="003D215C" w:rsidRDefault="00F1487B" w:rsidP="00436FFD">
            <w:pPr>
              <w:tabs>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1333DF92">
              <w:rPr>
                <w:rFonts w:cs="Arial"/>
              </w:rPr>
              <w:t>Termijnoverschrijding: de verzekering dient dekking te bieden voor aanspraken jegens verzekerden voor schade voortvloeiend uit, of verband houdend met het overschrijden van in de wet (in formele dan wel materiële zin) genoemde termijnen, tenzij het overschrijden van de termijn een gevolg is van het, zonder enige redelijke aanleiding, nalaten een besluit te nemen. Hier valt niet onder te weinig capaciteit of ‘over het hoofd zien van een termijn’.</w:t>
            </w:r>
          </w:p>
        </w:tc>
      </w:tr>
      <w:tr w:rsidR="00F1487B" w:rsidRPr="00F760FB" w14:paraId="7CDCE268" w14:textId="77777777" w:rsidTr="00436FFD">
        <w:trPr>
          <w:cantSplit/>
          <w:trHeight w:val="488"/>
        </w:trPr>
        <w:tc>
          <w:tcPr>
            <w:tcW w:w="637" w:type="dxa"/>
            <w:shd w:val="clear" w:color="auto" w:fill="auto"/>
          </w:tcPr>
          <w:p w14:paraId="20C2A454" w14:textId="77777777" w:rsidR="00F1487B" w:rsidRPr="006F10D2" w:rsidRDefault="00F1487B" w:rsidP="00F1487B">
            <w:pPr>
              <w:pStyle w:val="Lijstalinea"/>
              <w:numPr>
                <w:ilvl w:val="0"/>
                <w:numId w:val="2"/>
              </w:numPr>
              <w:spacing w:line="276" w:lineRule="auto"/>
              <w:contextualSpacing w:val="0"/>
              <w:jc w:val="center"/>
              <w:rPr>
                <w:rFonts w:cs="Arial"/>
              </w:rPr>
            </w:pPr>
          </w:p>
        </w:tc>
        <w:tc>
          <w:tcPr>
            <w:tcW w:w="8289" w:type="dxa"/>
          </w:tcPr>
          <w:p w14:paraId="6626E2EF" w14:textId="77777777" w:rsidR="00F1487B" w:rsidRPr="00EA7A4C" w:rsidRDefault="00F1487B" w:rsidP="00436FFD">
            <w:pPr>
              <w:tabs>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1333DF92">
              <w:rPr>
                <w:rFonts w:cs="Arial"/>
              </w:rPr>
              <w:t xml:space="preserve">Toezeggingen/gewekte verwachtingen; de verzekering dient dekking te verlenen voor schade als gevolg van het niet nakomen van gedane toezeggingen of gewekte verwachtingen maar slechts voor zover de niet-nakoming naar gangbare rechtsopvatting gebaseerd kan worden op de omstandigheid dat door nakoming een wettelijke bepaling of voorschrift geschonden zou worden. De bewijslast dat er naar gangbare rechtsopvatting door nakoming geen wettelijke bepaling of voorschrift geschonden zou worden rust op de verzekeraar indien en voor zover die zich op deze uitsluiting beroept. Daarbij merken we op dat dit alleen geldt als het gaat om toezeggingen van of verwachtingen gewekt door verzekeringnemer of bestuurders of bestuursorganen van de gemeente. Het is verzekerd als verzekerde door nakoming van de toezegging of honorering van de verwachting de wet of een wettelijke regeling schendt, en verzekerde bewijst dat hij dit bij het doen van de toezegging en het wekken van de verwachting niet wist.                                                                                                                             </w:t>
            </w:r>
          </w:p>
        </w:tc>
      </w:tr>
      <w:tr w:rsidR="00F1487B" w:rsidRPr="00F760FB" w14:paraId="73A5AB04" w14:textId="77777777" w:rsidTr="00436FFD">
        <w:trPr>
          <w:cantSplit/>
          <w:trHeight w:val="488"/>
        </w:trPr>
        <w:tc>
          <w:tcPr>
            <w:tcW w:w="637" w:type="dxa"/>
            <w:shd w:val="clear" w:color="auto" w:fill="auto"/>
          </w:tcPr>
          <w:p w14:paraId="40E6AC16" w14:textId="77777777" w:rsidR="00F1487B" w:rsidRPr="006F10D2" w:rsidRDefault="00F1487B" w:rsidP="00F1487B">
            <w:pPr>
              <w:pStyle w:val="Lijstalinea"/>
              <w:numPr>
                <w:ilvl w:val="0"/>
                <w:numId w:val="2"/>
              </w:numPr>
              <w:spacing w:line="276" w:lineRule="auto"/>
              <w:contextualSpacing w:val="0"/>
              <w:jc w:val="center"/>
              <w:rPr>
                <w:rFonts w:cs="Arial"/>
              </w:rPr>
            </w:pPr>
          </w:p>
        </w:tc>
        <w:tc>
          <w:tcPr>
            <w:tcW w:w="8289" w:type="dxa"/>
          </w:tcPr>
          <w:p w14:paraId="6C64AF04" w14:textId="77777777" w:rsidR="00F1487B" w:rsidRDefault="00F1487B" w:rsidP="00436FFD">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Pr>
                <w:rFonts w:cs="Arial"/>
              </w:rPr>
              <w:t xml:space="preserve">Letselschaden dienen behandeld te worden conform de gedragsregels vermeld in het document Gedragscode Behandeling Letselschade, 2012, </w:t>
            </w:r>
            <w:r w:rsidRPr="00752035">
              <w:rPr>
                <w:rFonts w:cs="Arial"/>
              </w:rPr>
              <w:t>of tenminste vergelijkbaar</w:t>
            </w:r>
            <w:r>
              <w:rPr>
                <w:rFonts w:cs="Arial"/>
              </w:rPr>
              <w:t>.</w:t>
            </w:r>
          </w:p>
          <w:p w14:paraId="6D9B2349" w14:textId="77777777" w:rsidR="00F1487B" w:rsidRPr="00EA7A4C" w:rsidRDefault="00F1487B" w:rsidP="00436FFD">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p>
        </w:tc>
      </w:tr>
      <w:tr w:rsidR="00F1487B" w:rsidRPr="00F760FB" w14:paraId="6C541CE5" w14:textId="77777777" w:rsidTr="00436FFD">
        <w:trPr>
          <w:cantSplit/>
          <w:trHeight w:val="488"/>
        </w:trPr>
        <w:tc>
          <w:tcPr>
            <w:tcW w:w="637" w:type="dxa"/>
            <w:shd w:val="clear" w:color="auto" w:fill="auto"/>
          </w:tcPr>
          <w:p w14:paraId="359EB044" w14:textId="77777777" w:rsidR="00F1487B" w:rsidRPr="00443525" w:rsidRDefault="00F1487B" w:rsidP="00F1487B">
            <w:pPr>
              <w:pStyle w:val="Lijstalinea"/>
              <w:numPr>
                <w:ilvl w:val="0"/>
                <w:numId w:val="2"/>
              </w:numPr>
              <w:spacing w:line="276" w:lineRule="auto"/>
              <w:contextualSpacing w:val="0"/>
              <w:jc w:val="center"/>
              <w:rPr>
                <w:rFonts w:cs="Arial"/>
              </w:rPr>
            </w:pPr>
            <w:r w:rsidRPr="1333DF92">
              <w:rPr>
                <w:rFonts w:cs="Arial"/>
                <w:b/>
                <w:bCs/>
              </w:rPr>
              <w:lastRenderedPageBreak/>
              <w:t xml:space="preserve">   </w:t>
            </w:r>
          </w:p>
        </w:tc>
        <w:tc>
          <w:tcPr>
            <w:tcW w:w="8289" w:type="dxa"/>
          </w:tcPr>
          <w:p w14:paraId="23DCE544" w14:textId="77777777" w:rsidR="00F1487B" w:rsidRPr="00EA7A4C" w:rsidRDefault="00F1487B" w:rsidP="00436FFD">
            <w:pPr>
              <w:tabs>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1333DF92">
              <w:rPr>
                <w:rFonts w:cs="Arial"/>
              </w:rPr>
              <w:t xml:space="preserve">De door de Inschrijver geoffreerde jaarpremie dient netto te zijn echter inclusief schadebehandeling boven het eigen risico, polis opmaak, poliskosten en contractbeheer en exclusief assurantiebelasting. Indien de Inschrijver er de voorkeur aan geeft een verzekeringsmakelaar of andere externe partij in te schakelen om de schadebehandeling, polis opmaak en het contractbeheer uit te voeren dan dient zij aan te geven welk bedrag in de Inschrijving hiervoor is opgenomen.  </w:t>
            </w:r>
          </w:p>
        </w:tc>
      </w:tr>
      <w:tr w:rsidR="00F1487B" w:rsidRPr="00F760FB" w14:paraId="4B3BA26A" w14:textId="77777777" w:rsidTr="00436FFD">
        <w:trPr>
          <w:cantSplit/>
          <w:trHeight w:val="488"/>
        </w:trPr>
        <w:tc>
          <w:tcPr>
            <w:tcW w:w="637" w:type="dxa"/>
            <w:shd w:val="clear" w:color="auto" w:fill="auto"/>
          </w:tcPr>
          <w:p w14:paraId="71E56A0F" w14:textId="77777777" w:rsidR="00F1487B" w:rsidRPr="00EA7A4C" w:rsidRDefault="00F1487B" w:rsidP="00F1487B">
            <w:pPr>
              <w:pStyle w:val="Lijstalinea"/>
              <w:numPr>
                <w:ilvl w:val="0"/>
                <w:numId w:val="2"/>
              </w:numPr>
              <w:spacing w:line="276" w:lineRule="auto"/>
              <w:contextualSpacing w:val="0"/>
              <w:jc w:val="center"/>
              <w:rPr>
                <w:rFonts w:cs="Arial"/>
              </w:rPr>
            </w:pPr>
          </w:p>
        </w:tc>
        <w:tc>
          <w:tcPr>
            <w:tcW w:w="8289" w:type="dxa"/>
          </w:tcPr>
          <w:p w14:paraId="0922BECF" w14:textId="77777777" w:rsidR="00F1487B" w:rsidRPr="002203A5" w:rsidRDefault="00F1487B" w:rsidP="00436FFD">
            <w:pPr>
              <w:tabs>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1333DF92">
              <w:rPr>
                <w:rFonts w:cs="Arial"/>
              </w:rPr>
              <w:t xml:space="preserve">De door de inschrijver aan te bieden aansprakelijkheidsverzekering dient de hiernavolgende verzekerde bedragen en eigen risico’s te bevatten. </w:t>
            </w:r>
          </w:p>
          <w:p w14:paraId="14FEBA55" w14:textId="77777777" w:rsidR="00F1487B" w:rsidRPr="002203A5" w:rsidRDefault="00F1487B" w:rsidP="00436FFD">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p>
          <w:p w14:paraId="0B3F0C06" w14:textId="77777777" w:rsidR="00F1487B" w:rsidRPr="002203A5" w:rsidRDefault="00F1487B" w:rsidP="00436FFD">
            <w:pPr>
              <w:tabs>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1333DF92">
              <w:rPr>
                <w:rFonts w:cs="Arial"/>
              </w:rPr>
              <w:t xml:space="preserve">EUR </w:t>
            </w:r>
            <w:r>
              <w:rPr>
                <w:rFonts w:cs="Arial"/>
              </w:rPr>
              <w:t>2</w:t>
            </w:r>
            <w:r w:rsidRPr="1333DF92">
              <w:rPr>
                <w:rFonts w:cs="Arial"/>
              </w:rPr>
              <w:t>.</w:t>
            </w:r>
            <w:r>
              <w:rPr>
                <w:rFonts w:cs="Arial"/>
              </w:rPr>
              <w:t>5</w:t>
            </w:r>
            <w:r w:rsidRPr="1333DF92">
              <w:rPr>
                <w:rFonts w:cs="Arial"/>
              </w:rPr>
              <w:t xml:space="preserve">00.000,00 per aanspraak gemaximeerd tot EUR </w:t>
            </w:r>
            <w:r>
              <w:rPr>
                <w:rFonts w:cs="Arial"/>
              </w:rPr>
              <w:t>5</w:t>
            </w:r>
            <w:r w:rsidRPr="1333DF92">
              <w:rPr>
                <w:rFonts w:cs="Arial"/>
              </w:rPr>
              <w:t>.000.000,00 per verzekeringsjaar voor personen- en zaakschade;</w:t>
            </w:r>
          </w:p>
          <w:p w14:paraId="0CBCFE0D" w14:textId="77777777" w:rsidR="00F1487B" w:rsidRPr="002203A5" w:rsidRDefault="00F1487B" w:rsidP="00436FFD">
            <w:pPr>
              <w:tabs>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1333DF92">
              <w:rPr>
                <w:rFonts w:cs="Arial"/>
              </w:rPr>
              <w:t>EUR 2.500.000,00 per aanspraak gemaximeerd tot EUR 5.000.000,00 per verzekeringsjaar voor zuivere vermogensschade;</w:t>
            </w:r>
          </w:p>
          <w:p w14:paraId="496AF138" w14:textId="77777777" w:rsidR="00F1487B" w:rsidRPr="002203A5" w:rsidRDefault="00F1487B" w:rsidP="00436FFD">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p>
          <w:p w14:paraId="26B4C989" w14:textId="77777777" w:rsidR="00F1487B" w:rsidRPr="002203A5" w:rsidRDefault="00F1487B" w:rsidP="00436FFD">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2203A5">
              <w:rPr>
                <w:rFonts w:cs="Arial"/>
              </w:rPr>
              <w:t xml:space="preserve">Eigen risico:                            </w:t>
            </w:r>
          </w:p>
          <w:p w14:paraId="00A45E98" w14:textId="77777777" w:rsidR="00F1487B" w:rsidRPr="00B31DF7" w:rsidRDefault="00F1487B" w:rsidP="00436FFD">
            <w:pPr>
              <w:tabs>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1333DF92">
              <w:rPr>
                <w:rFonts w:cs="Arial"/>
              </w:rPr>
              <w:t xml:space="preserve">EUR     </w:t>
            </w:r>
            <w:r>
              <w:rPr>
                <w:rFonts w:cs="Arial"/>
              </w:rPr>
              <w:t>2</w:t>
            </w:r>
            <w:r w:rsidRPr="1333DF92">
              <w:rPr>
                <w:rFonts w:cs="Arial"/>
              </w:rPr>
              <w:t>.</w:t>
            </w:r>
            <w:r>
              <w:rPr>
                <w:rFonts w:cs="Arial"/>
              </w:rPr>
              <w:t>5</w:t>
            </w:r>
            <w:r w:rsidRPr="1333DF92">
              <w:rPr>
                <w:rFonts w:cs="Arial"/>
              </w:rPr>
              <w:t>00,00 per aanspraak voor personen- en zaakschade</w:t>
            </w:r>
          </w:p>
          <w:p w14:paraId="3CCDAE2F" w14:textId="77777777" w:rsidR="00F1487B" w:rsidRPr="002203A5" w:rsidRDefault="00F1487B" w:rsidP="00436FFD">
            <w:pPr>
              <w:tabs>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1333DF92">
              <w:rPr>
                <w:rFonts w:cs="Arial"/>
              </w:rPr>
              <w:t xml:space="preserve">EUR     </w:t>
            </w:r>
            <w:r>
              <w:rPr>
                <w:rFonts w:cs="Arial"/>
              </w:rPr>
              <w:t>2</w:t>
            </w:r>
            <w:r w:rsidRPr="1333DF92">
              <w:rPr>
                <w:rFonts w:cs="Arial"/>
              </w:rPr>
              <w:t>.</w:t>
            </w:r>
            <w:r>
              <w:rPr>
                <w:rFonts w:cs="Arial"/>
              </w:rPr>
              <w:t>5</w:t>
            </w:r>
            <w:r w:rsidRPr="1333DF92">
              <w:rPr>
                <w:rFonts w:cs="Arial"/>
              </w:rPr>
              <w:t>00,00 per aanspraak voor zuivere vermogensschade</w:t>
            </w:r>
          </w:p>
          <w:p w14:paraId="39A0070F" w14:textId="77777777" w:rsidR="00F1487B" w:rsidRPr="00EA7A4C" w:rsidRDefault="00F1487B" w:rsidP="00436FFD">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p>
        </w:tc>
      </w:tr>
      <w:tr w:rsidR="00F1487B" w:rsidRPr="00F760FB" w14:paraId="753B6BF9" w14:textId="77777777" w:rsidTr="00436FFD">
        <w:trPr>
          <w:cantSplit/>
          <w:trHeight w:val="488"/>
        </w:trPr>
        <w:tc>
          <w:tcPr>
            <w:tcW w:w="637" w:type="dxa"/>
            <w:shd w:val="clear" w:color="auto" w:fill="auto"/>
          </w:tcPr>
          <w:p w14:paraId="49D29FCA" w14:textId="77777777" w:rsidR="00F1487B" w:rsidRPr="00EA7A4C" w:rsidRDefault="00F1487B" w:rsidP="00F1487B">
            <w:pPr>
              <w:pStyle w:val="Lijstalinea"/>
              <w:numPr>
                <w:ilvl w:val="0"/>
                <w:numId w:val="2"/>
              </w:numPr>
              <w:spacing w:line="276" w:lineRule="auto"/>
              <w:contextualSpacing w:val="0"/>
              <w:jc w:val="center"/>
              <w:rPr>
                <w:rFonts w:cs="Arial"/>
              </w:rPr>
            </w:pPr>
          </w:p>
        </w:tc>
        <w:tc>
          <w:tcPr>
            <w:tcW w:w="8289" w:type="dxa"/>
          </w:tcPr>
          <w:p w14:paraId="3048D5B6" w14:textId="77777777" w:rsidR="00F1487B" w:rsidRPr="002203A5" w:rsidRDefault="00F1487B" w:rsidP="00436FFD">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BE35C7">
              <w:rPr>
                <w:rFonts w:cs="Arial"/>
              </w:rPr>
              <w:t>De facturen, inclusief bijbehorende bijlagen dienen per factuur in één PDF-format te worden aangeleverd en verzonden te worden naar</w:t>
            </w:r>
            <w:r>
              <w:t xml:space="preserve"> </w:t>
            </w:r>
            <w:r>
              <w:rPr>
                <w:rFonts w:cs="Arial"/>
              </w:rPr>
              <w:t>factuur@beuningen.nl</w:t>
            </w:r>
            <w:r w:rsidRPr="00066D1F">
              <w:rPr>
                <w:rFonts w:cs="Arial"/>
              </w:rPr>
              <w:t>,</w:t>
            </w:r>
            <w:r w:rsidRPr="00BE35C7">
              <w:rPr>
                <w:rFonts w:cs="Arial"/>
              </w:rPr>
              <w:t xml:space="preserve"> onder vermelding van:  </w:t>
            </w:r>
            <w:r>
              <w:rPr>
                <w:rFonts w:cs="Arial"/>
              </w:rPr>
              <w:t>gemeente Beuningen</w:t>
            </w:r>
            <w:r w:rsidRPr="00BE35C7">
              <w:rPr>
                <w:rFonts w:cs="Arial"/>
              </w:rPr>
              <w:t xml:space="preserve"> </w:t>
            </w:r>
            <w:r>
              <w:rPr>
                <w:rFonts w:cs="Arial"/>
              </w:rPr>
              <w:t xml:space="preserve">aansprakelijkheidsverzekering. </w:t>
            </w:r>
            <w:r w:rsidRPr="00BE35C7">
              <w:rPr>
                <w:rFonts w:cs="Arial"/>
              </w:rPr>
              <w:t>Leverancier factureert onder vermelding van opdrachtnummer: Vul een verplichtingsnummer in</w:t>
            </w:r>
          </w:p>
        </w:tc>
      </w:tr>
    </w:tbl>
    <w:p w14:paraId="03AA2CE4" w14:textId="77777777" w:rsidR="00F1487B" w:rsidRDefault="00F1487B" w:rsidP="00F1487B">
      <w:pPr>
        <w:tabs>
          <w:tab w:val="left" w:pos="7590"/>
        </w:tabs>
        <w:rPr>
          <w:rFonts w:cs="Arial"/>
        </w:rPr>
      </w:pPr>
    </w:p>
    <w:p w14:paraId="3288DD01" w14:textId="77777777" w:rsidR="00F1487B" w:rsidRDefault="00F1487B" w:rsidP="00F1487B">
      <w:pPr>
        <w:pStyle w:val="ReportBodyTextIndent"/>
        <w:ind w:left="-100"/>
        <w:rPr>
          <w:rFonts w:cs="Arial"/>
          <w:szCs w:val="20"/>
        </w:rPr>
      </w:pPr>
    </w:p>
    <w:p w14:paraId="47932F5A" w14:textId="77777777" w:rsidR="00F1487B" w:rsidRPr="00E623B9" w:rsidRDefault="00F1487B" w:rsidP="00F1487B">
      <w:r w:rsidRPr="00E623B9">
        <w:t>Getekend</w:t>
      </w:r>
      <w:r w:rsidRPr="00E623B9">
        <w:rPr>
          <w:spacing w:val="-14"/>
        </w:rPr>
        <w:t xml:space="preserve"> </w:t>
      </w:r>
      <w:r w:rsidRPr="00E623B9">
        <w:t>voor</w:t>
      </w:r>
      <w:r w:rsidRPr="00E623B9">
        <w:rPr>
          <w:spacing w:val="-12"/>
        </w:rPr>
        <w:t xml:space="preserve"> </w:t>
      </w:r>
      <w:r w:rsidRPr="00E623B9">
        <w:t>akkoord</w:t>
      </w:r>
      <w:r w:rsidRPr="00E623B9">
        <w:rPr>
          <w:spacing w:val="-11"/>
        </w:rPr>
        <w:t xml:space="preserve"> </w:t>
      </w:r>
      <w:r w:rsidRPr="00E623B9">
        <w:t>met</w:t>
      </w:r>
      <w:r w:rsidRPr="00E623B9">
        <w:rPr>
          <w:spacing w:val="-12"/>
        </w:rPr>
        <w:t xml:space="preserve"> </w:t>
      </w:r>
      <w:r w:rsidRPr="00E623B9">
        <w:rPr>
          <w:spacing w:val="-2"/>
        </w:rPr>
        <w:t>eisen:</w:t>
      </w:r>
    </w:p>
    <w:tbl>
      <w:tblPr>
        <w:tblW w:w="9004" w:type="dxa"/>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8"/>
        <w:gridCol w:w="6796"/>
      </w:tblGrid>
      <w:tr w:rsidR="00F1487B" w14:paraId="214233AA" w14:textId="77777777" w:rsidTr="00436FFD">
        <w:trPr>
          <w:trHeight w:val="448"/>
        </w:trPr>
        <w:tc>
          <w:tcPr>
            <w:tcW w:w="2208" w:type="dxa"/>
          </w:tcPr>
          <w:p w14:paraId="748C6E2D" w14:textId="77777777" w:rsidR="00F1487B" w:rsidRDefault="00F1487B" w:rsidP="00436FFD">
            <w:pPr>
              <w:pStyle w:val="TableParagraph"/>
              <w:spacing w:before="110"/>
              <w:ind w:left="71"/>
              <w:rPr>
                <w:sz w:val="20"/>
              </w:rPr>
            </w:pPr>
            <w:r>
              <w:rPr>
                <w:sz w:val="20"/>
              </w:rPr>
              <w:t>Naam</w:t>
            </w:r>
            <w:r>
              <w:rPr>
                <w:spacing w:val="-5"/>
                <w:sz w:val="20"/>
              </w:rPr>
              <w:t xml:space="preserve"> </w:t>
            </w:r>
            <w:r>
              <w:rPr>
                <w:spacing w:val="-2"/>
                <w:sz w:val="20"/>
              </w:rPr>
              <w:t>inschrijver</w:t>
            </w:r>
          </w:p>
        </w:tc>
        <w:tc>
          <w:tcPr>
            <w:tcW w:w="6796" w:type="dxa"/>
          </w:tcPr>
          <w:p w14:paraId="4A6BB66C" w14:textId="77777777" w:rsidR="00F1487B" w:rsidRDefault="00F1487B" w:rsidP="00436FFD">
            <w:pPr>
              <w:pStyle w:val="TableParagraph"/>
              <w:rPr>
                <w:rFonts w:ascii="Times New Roman"/>
                <w:sz w:val="18"/>
              </w:rPr>
            </w:pPr>
          </w:p>
        </w:tc>
      </w:tr>
      <w:tr w:rsidR="00F1487B" w14:paraId="6DBC7909" w14:textId="77777777" w:rsidTr="00436FFD">
        <w:trPr>
          <w:trHeight w:val="412"/>
        </w:trPr>
        <w:tc>
          <w:tcPr>
            <w:tcW w:w="2208" w:type="dxa"/>
          </w:tcPr>
          <w:p w14:paraId="03C4BFDA" w14:textId="77777777" w:rsidR="00F1487B" w:rsidRDefault="00F1487B" w:rsidP="00436FFD">
            <w:pPr>
              <w:pStyle w:val="TableParagraph"/>
              <w:spacing w:before="90"/>
              <w:ind w:left="71"/>
              <w:rPr>
                <w:sz w:val="20"/>
              </w:rPr>
            </w:pPr>
            <w:r>
              <w:rPr>
                <w:sz w:val="20"/>
              </w:rPr>
              <w:t>Naam</w:t>
            </w:r>
            <w:r>
              <w:rPr>
                <w:spacing w:val="-8"/>
                <w:sz w:val="20"/>
              </w:rPr>
              <w:t xml:space="preserve"> </w:t>
            </w:r>
            <w:r>
              <w:rPr>
                <w:spacing w:val="-2"/>
                <w:sz w:val="20"/>
              </w:rPr>
              <w:t>tekenbevoegde</w:t>
            </w:r>
          </w:p>
        </w:tc>
        <w:tc>
          <w:tcPr>
            <w:tcW w:w="6796" w:type="dxa"/>
          </w:tcPr>
          <w:p w14:paraId="2E00BF6D" w14:textId="77777777" w:rsidR="00F1487B" w:rsidRDefault="00F1487B" w:rsidP="00436FFD">
            <w:pPr>
              <w:pStyle w:val="TableParagraph"/>
              <w:rPr>
                <w:rFonts w:ascii="Times New Roman"/>
                <w:sz w:val="18"/>
              </w:rPr>
            </w:pPr>
          </w:p>
        </w:tc>
      </w:tr>
      <w:tr w:rsidR="00F1487B" w14:paraId="618842FE" w14:textId="77777777" w:rsidTr="00436FFD">
        <w:trPr>
          <w:trHeight w:val="417"/>
        </w:trPr>
        <w:tc>
          <w:tcPr>
            <w:tcW w:w="2208" w:type="dxa"/>
          </w:tcPr>
          <w:p w14:paraId="727C3033" w14:textId="77777777" w:rsidR="00F1487B" w:rsidRDefault="00F1487B" w:rsidP="00436FFD">
            <w:pPr>
              <w:pStyle w:val="TableParagraph"/>
              <w:spacing w:before="93"/>
              <w:ind w:left="71"/>
              <w:rPr>
                <w:sz w:val="20"/>
              </w:rPr>
            </w:pPr>
            <w:r>
              <w:rPr>
                <w:spacing w:val="-2"/>
                <w:sz w:val="20"/>
              </w:rPr>
              <w:t>Handtekening</w:t>
            </w:r>
          </w:p>
        </w:tc>
        <w:tc>
          <w:tcPr>
            <w:tcW w:w="6796" w:type="dxa"/>
          </w:tcPr>
          <w:p w14:paraId="2151FDF4" w14:textId="77777777" w:rsidR="00F1487B" w:rsidRDefault="00F1487B" w:rsidP="00436FFD">
            <w:pPr>
              <w:pStyle w:val="TableParagraph"/>
              <w:rPr>
                <w:rFonts w:ascii="Times New Roman"/>
                <w:sz w:val="18"/>
              </w:rPr>
            </w:pPr>
          </w:p>
        </w:tc>
      </w:tr>
      <w:tr w:rsidR="00F1487B" w14:paraId="7BDB0864" w14:textId="77777777" w:rsidTr="00436FFD">
        <w:trPr>
          <w:trHeight w:val="426"/>
        </w:trPr>
        <w:tc>
          <w:tcPr>
            <w:tcW w:w="2208" w:type="dxa"/>
          </w:tcPr>
          <w:p w14:paraId="437F03CF" w14:textId="77777777" w:rsidR="00F1487B" w:rsidRDefault="00F1487B" w:rsidP="00436FFD">
            <w:pPr>
              <w:pStyle w:val="TableParagraph"/>
              <w:spacing w:before="98"/>
              <w:ind w:left="71"/>
              <w:rPr>
                <w:sz w:val="20"/>
              </w:rPr>
            </w:pPr>
            <w:r>
              <w:rPr>
                <w:spacing w:val="-2"/>
                <w:sz w:val="20"/>
              </w:rPr>
              <w:t>Datum</w:t>
            </w:r>
          </w:p>
        </w:tc>
        <w:tc>
          <w:tcPr>
            <w:tcW w:w="6796" w:type="dxa"/>
          </w:tcPr>
          <w:p w14:paraId="7AC1E780" w14:textId="77777777" w:rsidR="00F1487B" w:rsidRDefault="00F1487B" w:rsidP="00436FFD">
            <w:pPr>
              <w:pStyle w:val="TableParagraph"/>
              <w:rPr>
                <w:rFonts w:ascii="Times New Roman"/>
                <w:sz w:val="18"/>
              </w:rPr>
            </w:pPr>
          </w:p>
        </w:tc>
      </w:tr>
    </w:tbl>
    <w:p w14:paraId="1CDDDDF0" w14:textId="77777777" w:rsidR="00F1487B" w:rsidRDefault="00F1487B" w:rsidP="00F1487B">
      <w:pPr>
        <w:pStyle w:val="Plattetekst"/>
        <w:ind w:left="300" w:right="2844"/>
      </w:pPr>
    </w:p>
    <w:p w14:paraId="0698128A" w14:textId="77777777" w:rsidR="00F1487B" w:rsidRPr="00E623B9" w:rsidRDefault="00F1487B" w:rsidP="00F1487B">
      <w:pPr>
        <w:pStyle w:val="Plattetekst"/>
        <w:ind w:left="300" w:right="2844"/>
        <w:rPr>
          <w:rFonts w:asciiTheme="majorHAnsi" w:hAnsiTheme="majorHAnsi" w:cstheme="majorHAnsi"/>
          <w:sz w:val="20"/>
          <w:szCs w:val="20"/>
        </w:rPr>
      </w:pPr>
      <w:r w:rsidRPr="00E623B9">
        <w:rPr>
          <w:rFonts w:asciiTheme="majorHAnsi" w:hAnsiTheme="majorHAnsi" w:cstheme="majorHAnsi"/>
          <w:sz w:val="20"/>
          <w:szCs w:val="20"/>
        </w:rPr>
        <w:t>Deze</w:t>
      </w:r>
      <w:r w:rsidRPr="00E623B9">
        <w:rPr>
          <w:rFonts w:asciiTheme="majorHAnsi" w:hAnsiTheme="majorHAnsi" w:cstheme="majorHAnsi"/>
          <w:spacing w:val="-7"/>
          <w:sz w:val="20"/>
          <w:szCs w:val="20"/>
        </w:rPr>
        <w:t xml:space="preserve"> </w:t>
      </w:r>
      <w:r w:rsidRPr="00E623B9">
        <w:rPr>
          <w:rFonts w:asciiTheme="majorHAnsi" w:hAnsiTheme="majorHAnsi" w:cstheme="majorHAnsi"/>
          <w:sz w:val="20"/>
          <w:szCs w:val="20"/>
        </w:rPr>
        <w:t>bijlage</w:t>
      </w:r>
      <w:r w:rsidRPr="00E623B9">
        <w:rPr>
          <w:rFonts w:asciiTheme="majorHAnsi" w:hAnsiTheme="majorHAnsi" w:cstheme="majorHAnsi"/>
          <w:spacing w:val="-5"/>
          <w:sz w:val="20"/>
          <w:szCs w:val="20"/>
        </w:rPr>
        <w:t xml:space="preserve"> </w:t>
      </w:r>
      <w:r w:rsidRPr="00E623B9">
        <w:rPr>
          <w:rFonts w:asciiTheme="majorHAnsi" w:hAnsiTheme="majorHAnsi" w:cstheme="majorHAnsi"/>
          <w:sz w:val="20"/>
          <w:szCs w:val="20"/>
        </w:rPr>
        <w:t>is</w:t>
      </w:r>
      <w:r w:rsidRPr="00E623B9">
        <w:rPr>
          <w:rFonts w:asciiTheme="majorHAnsi" w:hAnsiTheme="majorHAnsi" w:cstheme="majorHAnsi"/>
          <w:spacing w:val="-6"/>
          <w:sz w:val="20"/>
          <w:szCs w:val="20"/>
        </w:rPr>
        <w:t xml:space="preserve"> </w:t>
      </w:r>
      <w:r w:rsidRPr="00E623B9">
        <w:rPr>
          <w:rFonts w:asciiTheme="majorHAnsi" w:hAnsiTheme="majorHAnsi" w:cstheme="majorHAnsi"/>
          <w:sz w:val="20"/>
          <w:szCs w:val="20"/>
        </w:rPr>
        <w:t>ook</w:t>
      </w:r>
      <w:r w:rsidRPr="00E623B9">
        <w:rPr>
          <w:rFonts w:asciiTheme="majorHAnsi" w:hAnsiTheme="majorHAnsi" w:cstheme="majorHAnsi"/>
          <w:spacing w:val="-6"/>
          <w:sz w:val="20"/>
          <w:szCs w:val="20"/>
        </w:rPr>
        <w:t xml:space="preserve"> </w:t>
      </w:r>
      <w:r w:rsidRPr="00E623B9">
        <w:rPr>
          <w:rFonts w:asciiTheme="majorHAnsi" w:hAnsiTheme="majorHAnsi" w:cstheme="majorHAnsi"/>
          <w:sz w:val="20"/>
          <w:szCs w:val="20"/>
        </w:rPr>
        <w:t>als</w:t>
      </w:r>
      <w:r w:rsidRPr="00E623B9">
        <w:rPr>
          <w:rFonts w:asciiTheme="majorHAnsi" w:hAnsiTheme="majorHAnsi" w:cstheme="majorHAnsi"/>
          <w:spacing w:val="-6"/>
          <w:sz w:val="20"/>
          <w:szCs w:val="20"/>
        </w:rPr>
        <w:t xml:space="preserve"> </w:t>
      </w:r>
      <w:r w:rsidRPr="00E623B9">
        <w:rPr>
          <w:rFonts w:asciiTheme="majorHAnsi" w:hAnsiTheme="majorHAnsi" w:cstheme="majorHAnsi"/>
          <w:sz w:val="20"/>
          <w:szCs w:val="20"/>
        </w:rPr>
        <w:t>aparte</w:t>
      </w:r>
      <w:r w:rsidRPr="00E623B9">
        <w:rPr>
          <w:rFonts w:asciiTheme="majorHAnsi" w:hAnsiTheme="majorHAnsi" w:cstheme="majorHAnsi"/>
          <w:spacing w:val="-7"/>
          <w:sz w:val="20"/>
          <w:szCs w:val="20"/>
        </w:rPr>
        <w:t xml:space="preserve"> </w:t>
      </w:r>
      <w:r w:rsidRPr="00E623B9">
        <w:rPr>
          <w:rFonts w:asciiTheme="majorHAnsi" w:hAnsiTheme="majorHAnsi" w:cstheme="majorHAnsi"/>
          <w:sz w:val="20"/>
          <w:szCs w:val="20"/>
        </w:rPr>
        <w:t>bijlage</w:t>
      </w:r>
      <w:r w:rsidRPr="00E623B9">
        <w:rPr>
          <w:rFonts w:asciiTheme="majorHAnsi" w:hAnsiTheme="majorHAnsi" w:cstheme="majorHAnsi"/>
          <w:spacing w:val="-5"/>
          <w:sz w:val="20"/>
          <w:szCs w:val="20"/>
        </w:rPr>
        <w:t xml:space="preserve"> </w:t>
      </w:r>
      <w:r w:rsidRPr="00E623B9">
        <w:rPr>
          <w:rFonts w:asciiTheme="majorHAnsi" w:hAnsiTheme="majorHAnsi" w:cstheme="majorHAnsi"/>
          <w:sz w:val="20"/>
          <w:szCs w:val="20"/>
        </w:rPr>
        <w:t>in</w:t>
      </w:r>
      <w:r w:rsidRPr="00E623B9">
        <w:rPr>
          <w:rFonts w:asciiTheme="majorHAnsi" w:hAnsiTheme="majorHAnsi" w:cstheme="majorHAnsi"/>
          <w:spacing w:val="-8"/>
          <w:sz w:val="20"/>
          <w:szCs w:val="20"/>
        </w:rPr>
        <w:t xml:space="preserve"> </w:t>
      </w:r>
      <w:r w:rsidRPr="00E623B9">
        <w:rPr>
          <w:rFonts w:asciiTheme="majorHAnsi" w:hAnsiTheme="majorHAnsi" w:cstheme="majorHAnsi"/>
          <w:sz w:val="20"/>
          <w:szCs w:val="20"/>
        </w:rPr>
        <w:t>Word-formaat</w:t>
      </w:r>
      <w:r w:rsidRPr="00E623B9">
        <w:rPr>
          <w:rFonts w:asciiTheme="majorHAnsi" w:hAnsiTheme="majorHAnsi" w:cstheme="majorHAnsi"/>
          <w:spacing w:val="-9"/>
          <w:sz w:val="20"/>
          <w:szCs w:val="20"/>
        </w:rPr>
        <w:t xml:space="preserve"> </w:t>
      </w:r>
      <w:r w:rsidRPr="00E623B9">
        <w:rPr>
          <w:rFonts w:asciiTheme="majorHAnsi" w:hAnsiTheme="majorHAnsi" w:cstheme="majorHAnsi"/>
          <w:sz w:val="20"/>
          <w:szCs w:val="20"/>
        </w:rPr>
        <w:t>toegevoegd</w:t>
      </w:r>
      <w:r w:rsidRPr="00E623B9">
        <w:rPr>
          <w:rFonts w:asciiTheme="majorHAnsi" w:hAnsiTheme="majorHAnsi" w:cstheme="majorHAnsi"/>
          <w:spacing w:val="-4"/>
          <w:sz w:val="20"/>
          <w:szCs w:val="20"/>
        </w:rPr>
        <w:t xml:space="preserve"> </w:t>
      </w:r>
      <w:r w:rsidRPr="00E623B9">
        <w:rPr>
          <w:rFonts w:asciiTheme="majorHAnsi" w:hAnsiTheme="majorHAnsi" w:cstheme="majorHAnsi"/>
          <w:sz w:val="20"/>
          <w:szCs w:val="20"/>
        </w:rPr>
        <w:t>onder</w:t>
      </w:r>
      <w:r w:rsidRPr="00E623B9">
        <w:rPr>
          <w:rFonts w:asciiTheme="majorHAnsi" w:hAnsiTheme="majorHAnsi" w:cstheme="majorHAnsi"/>
          <w:spacing w:val="-6"/>
          <w:sz w:val="20"/>
          <w:szCs w:val="20"/>
        </w:rPr>
        <w:t xml:space="preserve"> </w:t>
      </w:r>
      <w:r w:rsidRPr="00E623B9">
        <w:rPr>
          <w:rFonts w:asciiTheme="majorHAnsi" w:hAnsiTheme="majorHAnsi" w:cstheme="majorHAnsi"/>
          <w:sz w:val="20"/>
          <w:szCs w:val="20"/>
        </w:rPr>
        <w:t>de</w:t>
      </w:r>
      <w:r w:rsidRPr="00E623B9">
        <w:rPr>
          <w:rFonts w:asciiTheme="majorHAnsi" w:hAnsiTheme="majorHAnsi" w:cstheme="majorHAnsi"/>
          <w:spacing w:val="-8"/>
          <w:sz w:val="20"/>
          <w:szCs w:val="20"/>
        </w:rPr>
        <w:t xml:space="preserve"> </w:t>
      </w:r>
      <w:r w:rsidRPr="00E623B9">
        <w:rPr>
          <w:rFonts w:asciiTheme="majorHAnsi" w:hAnsiTheme="majorHAnsi" w:cstheme="majorHAnsi"/>
          <w:sz w:val="20"/>
          <w:szCs w:val="20"/>
        </w:rPr>
        <w:t xml:space="preserve">naam: Bijlage </w:t>
      </w:r>
      <w:r>
        <w:rPr>
          <w:rFonts w:asciiTheme="majorHAnsi" w:hAnsiTheme="majorHAnsi" w:cstheme="majorHAnsi"/>
          <w:sz w:val="20"/>
          <w:szCs w:val="20"/>
        </w:rPr>
        <w:t>3</w:t>
      </w:r>
      <w:r w:rsidRPr="00E623B9">
        <w:rPr>
          <w:rFonts w:asciiTheme="majorHAnsi" w:hAnsiTheme="majorHAnsi" w:cstheme="majorHAnsi"/>
          <w:sz w:val="20"/>
          <w:szCs w:val="20"/>
        </w:rPr>
        <w:t xml:space="preserve"> Programma van Eisen</w:t>
      </w:r>
    </w:p>
    <w:p w14:paraId="130BDD27" w14:textId="77777777" w:rsidR="00F1487B" w:rsidRDefault="00F1487B" w:rsidP="00F1487B">
      <w:pPr>
        <w:pStyle w:val="ReportBodyTextIndent"/>
        <w:ind w:left="-100"/>
        <w:rPr>
          <w:rFonts w:cs="Arial"/>
          <w:szCs w:val="20"/>
        </w:rPr>
      </w:pPr>
    </w:p>
    <w:p w14:paraId="492FCA4E" w14:textId="77777777" w:rsidR="00F1487B" w:rsidRDefault="00F1487B" w:rsidP="00F1487B">
      <w:pPr>
        <w:pStyle w:val="ReportBodyTextIndent"/>
        <w:ind w:left="0"/>
        <w:rPr>
          <w:rFonts w:cs="Arial"/>
          <w:b/>
          <w:bCs/>
          <w:color w:val="FF0000"/>
          <w:sz w:val="32"/>
          <w:szCs w:val="32"/>
        </w:rPr>
      </w:pPr>
    </w:p>
    <w:p w14:paraId="54F21BE3" w14:textId="77777777" w:rsidR="000F150B" w:rsidRPr="008335BD" w:rsidRDefault="000F150B" w:rsidP="00903B68"/>
    <w:sectPr w:rsidR="000F150B" w:rsidRPr="008335BD" w:rsidSect="00230988">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029095"/>
    <w:multiLevelType w:val="multilevel"/>
    <w:tmpl w:val="E8D4C390"/>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1" w15:restartNumberingAfterBreak="0">
    <w:nsid w:val="38666199"/>
    <w:multiLevelType w:val="hybridMultilevel"/>
    <w:tmpl w:val="5EF4548A"/>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4C7A3704"/>
    <w:multiLevelType w:val="hybridMultilevel"/>
    <w:tmpl w:val="A40CF6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8112356"/>
    <w:multiLevelType w:val="hybridMultilevel"/>
    <w:tmpl w:val="D1B6EE8A"/>
    <w:lvl w:ilvl="0" w:tplc="0413000F">
      <w:start w:val="1"/>
      <w:numFmt w:val="decimal"/>
      <w:lvlText w:val="%1."/>
      <w:lvlJc w:val="left"/>
      <w:pPr>
        <w:ind w:left="502"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232079494">
    <w:abstractNumId w:val="0"/>
  </w:num>
  <w:num w:numId="2" w16cid:durableId="1528327002">
    <w:abstractNumId w:val="3"/>
  </w:num>
  <w:num w:numId="3" w16cid:durableId="617761485">
    <w:abstractNumId w:val="2"/>
  </w:num>
  <w:num w:numId="4" w16cid:durableId="1720129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87B"/>
    <w:rsid w:val="000F150B"/>
    <w:rsid w:val="00230988"/>
    <w:rsid w:val="008335BD"/>
    <w:rsid w:val="00903B68"/>
    <w:rsid w:val="00D85B47"/>
    <w:rsid w:val="00F1487B"/>
    <w:rsid w:val="00F66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EDCAD"/>
  <w15:chartTrackingRefBased/>
  <w15:docId w15:val="{21AD1043-F5AF-434E-B6BE-EDCB04298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1487B"/>
    <w:rPr>
      <w:rFonts w:eastAsia="Times New Roman" w:cs="Times New Roman"/>
      <w:lang w:val="nl-NL"/>
    </w:rPr>
  </w:style>
  <w:style w:type="paragraph" w:styleId="Kop1">
    <w:name w:val="heading 1"/>
    <w:aliases w:val="Hoofdstuk,Section Heading,sectionHeading,051"/>
    <w:basedOn w:val="Standaard"/>
    <w:next w:val="Standaard"/>
    <w:link w:val="Kop1Char"/>
    <w:qFormat/>
    <w:rsid w:val="008335BD"/>
    <w:pPr>
      <w:keepNext/>
      <w:spacing w:before="240" w:after="60"/>
      <w:outlineLvl w:val="0"/>
    </w:pPr>
    <w:rPr>
      <w:rFonts w:asciiTheme="majorHAnsi" w:eastAsiaTheme="majorEastAsia" w:hAnsiTheme="majorHAnsi"/>
      <w:b/>
      <w:bCs/>
      <w:kern w:val="32"/>
      <w:sz w:val="32"/>
      <w:szCs w:val="32"/>
    </w:rPr>
  </w:style>
  <w:style w:type="paragraph" w:styleId="Kop2">
    <w:name w:val="heading 2"/>
    <w:basedOn w:val="Standaard"/>
    <w:next w:val="Standaard"/>
    <w:link w:val="Kop2Char"/>
    <w:uiPriority w:val="9"/>
    <w:semiHidden/>
    <w:unhideWhenUsed/>
    <w:qFormat/>
    <w:rsid w:val="008335BD"/>
    <w:pPr>
      <w:keepNext/>
      <w:spacing w:before="240" w:after="60"/>
      <w:outlineLvl w:val="1"/>
    </w:pPr>
    <w:rPr>
      <w:rFonts w:asciiTheme="majorHAnsi" w:eastAsiaTheme="majorEastAsia" w:hAnsiTheme="majorHAnsi" w:cstheme="majorBidi"/>
      <w:b/>
      <w:bCs/>
      <w:i/>
      <w:iCs/>
      <w:sz w:val="28"/>
      <w:szCs w:val="28"/>
    </w:rPr>
  </w:style>
  <w:style w:type="paragraph" w:styleId="Kop3">
    <w:name w:val="heading 3"/>
    <w:basedOn w:val="Standaard"/>
    <w:next w:val="Standaard"/>
    <w:link w:val="Kop3Char"/>
    <w:uiPriority w:val="9"/>
    <w:semiHidden/>
    <w:unhideWhenUsed/>
    <w:qFormat/>
    <w:rsid w:val="008335BD"/>
    <w:pPr>
      <w:keepNext/>
      <w:spacing w:before="240" w:after="60"/>
      <w:outlineLvl w:val="2"/>
    </w:pPr>
    <w:rPr>
      <w:rFonts w:asciiTheme="majorHAnsi" w:eastAsiaTheme="majorEastAsia" w:hAnsiTheme="majorHAnsi"/>
      <w:b/>
      <w:bCs/>
      <w:sz w:val="26"/>
      <w:szCs w:val="26"/>
    </w:rPr>
  </w:style>
  <w:style w:type="paragraph" w:styleId="Kop4">
    <w:name w:val="heading 4"/>
    <w:basedOn w:val="Standaard"/>
    <w:next w:val="Standaard"/>
    <w:link w:val="Kop4Char"/>
    <w:uiPriority w:val="9"/>
    <w:semiHidden/>
    <w:unhideWhenUsed/>
    <w:qFormat/>
    <w:rsid w:val="008335BD"/>
    <w:pPr>
      <w:keepNext/>
      <w:spacing w:before="240" w:after="60"/>
      <w:outlineLvl w:val="3"/>
    </w:pPr>
    <w:rPr>
      <w:b/>
      <w:bCs/>
      <w:sz w:val="28"/>
      <w:szCs w:val="28"/>
    </w:rPr>
  </w:style>
  <w:style w:type="paragraph" w:styleId="Kop5">
    <w:name w:val="heading 5"/>
    <w:basedOn w:val="Standaard"/>
    <w:next w:val="Standaard"/>
    <w:link w:val="Kop5Char"/>
    <w:uiPriority w:val="9"/>
    <w:semiHidden/>
    <w:unhideWhenUsed/>
    <w:qFormat/>
    <w:rsid w:val="008335BD"/>
    <w:pPr>
      <w:spacing w:before="240" w:after="60"/>
      <w:outlineLvl w:val="4"/>
    </w:pPr>
    <w:rPr>
      <w:b/>
      <w:bCs/>
      <w:i/>
      <w:iCs/>
      <w:sz w:val="26"/>
      <w:szCs w:val="26"/>
    </w:rPr>
  </w:style>
  <w:style w:type="paragraph" w:styleId="Kop6">
    <w:name w:val="heading 6"/>
    <w:basedOn w:val="Standaard"/>
    <w:next w:val="Standaard"/>
    <w:link w:val="Kop6Char"/>
    <w:uiPriority w:val="9"/>
    <w:semiHidden/>
    <w:unhideWhenUsed/>
    <w:qFormat/>
    <w:rsid w:val="008335BD"/>
    <w:pPr>
      <w:spacing w:before="240" w:after="60"/>
      <w:outlineLvl w:val="5"/>
    </w:pPr>
    <w:rPr>
      <w:b/>
      <w:bCs/>
      <w:sz w:val="22"/>
      <w:szCs w:val="22"/>
    </w:rPr>
  </w:style>
  <w:style w:type="paragraph" w:styleId="Kop7">
    <w:name w:val="heading 7"/>
    <w:basedOn w:val="Standaard"/>
    <w:next w:val="Standaard"/>
    <w:link w:val="Kop7Char"/>
    <w:uiPriority w:val="9"/>
    <w:semiHidden/>
    <w:unhideWhenUsed/>
    <w:qFormat/>
    <w:rsid w:val="008335BD"/>
    <w:pPr>
      <w:spacing w:before="240" w:after="60"/>
      <w:outlineLvl w:val="6"/>
    </w:pPr>
  </w:style>
  <w:style w:type="paragraph" w:styleId="Kop8">
    <w:name w:val="heading 8"/>
    <w:basedOn w:val="Standaard"/>
    <w:next w:val="Standaard"/>
    <w:link w:val="Kop8Char"/>
    <w:uiPriority w:val="9"/>
    <w:semiHidden/>
    <w:unhideWhenUsed/>
    <w:qFormat/>
    <w:rsid w:val="008335BD"/>
    <w:pPr>
      <w:spacing w:before="240" w:after="60"/>
      <w:outlineLvl w:val="7"/>
    </w:pPr>
    <w:rPr>
      <w:i/>
      <w:iCs/>
    </w:rPr>
  </w:style>
  <w:style w:type="paragraph" w:styleId="Kop9">
    <w:name w:val="heading 9"/>
    <w:basedOn w:val="Standaard"/>
    <w:next w:val="Standaard"/>
    <w:link w:val="Kop9Char"/>
    <w:uiPriority w:val="9"/>
    <w:semiHidden/>
    <w:unhideWhenUsed/>
    <w:qFormat/>
    <w:rsid w:val="008335BD"/>
    <w:pPr>
      <w:spacing w:before="240" w:after="60"/>
      <w:outlineLvl w:val="8"/>
    </w:pPr>
    <w:rPr>
      <w:rFonts w:asciiTheme="majorHAnsi" w:eastAsiaTheme="majorEastAsia" w:hAnsiTheme="majorHAns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semiHidden/>
    <w:rsid w:val="008335BD"/>
    <w:rPr>
      <w:rFonts w:asciiTheme="majorHAnsi" w:eastAsiaTheme="majorEastAsia" w:hAnsiTheme="majorHAnsi" w:cstheme="majorBidi"/>
      <w:b/>
      <w:bCs/>
      <w:i/>
      <w:iCs/>
      <w:sz w:val="28"/>
      <w:szCs w:val="28"/>
    </w:rPr>
  </w:style>
  <w:style w:type="character" w:customStyle="1" w:styleId="Kop1Char">
    <w:name w:val="Kop 1 Char"/>
    <w:aliases w:val="Hoofdstuk Char,Section Heading Char,sectionHeading Char,051 Char"/>
    <w:basedOn w:val="Standaardalinea-lettertype"/>
    <w:link w:val="Kop1"/>
    <w:rsid w:val="008335BD"/>
    <w:rPr>
      <w:rFonts w:asciiTheme="majorHAnsi" w:eastAsiaTheme="majorEastAsia" w:hAnsiTheme="majorHAnsi"/>
      <w:b/>
      <w:bCs/>
      <w:kern w:val="32"/>
      <w:sz w:val="32"/>
      <w:szCs w:val="32"/>
    </w:rPr>
  </w:style>
  <w:style w:type="character" w:customStyle="1" w:styleId="Kop3Char">
    <w:name w:val="Kop 3 Char"/>
    <w:basedOn w:val="Standaardalinea-lettertype"/>
    <w:link w:val="Kop3"/>
    <w:uiPriority w:val="9"/>
    <w:semiHidden/>
    <w:rsid w:val="008335BD"/>
    <w:rPr>
      <w:rFonts w:asciiTheme="majorHAnsi" w:eastAsiaTheme="majorEastAsia" w:hAnsiTheme="majorHAnsi"/>
      <w:b/>
      <w:bCs/>
      <w:sz w:val="26"/>
      <w:szCs w:val="26"/>
    </w:rPr>
  </w:style>
  <w:style w:type="character" w:customStyle="1" w:styleId="Kop4Char">
    <w:name w:val="Kop 4 Char"/>
    <w:basedOn w:val="Standaardalinea-lettertype"/>
    <w:link w:val="Kop4"/>
    <w:uiPriority w:val="9"/>
    <w:semiHidden/>
    <w:rsid w:val="008335BD"/>
    <w:rPr>
      <w:b/>
      <w:bCs/>
      <w:sz w:val="28"/>
      <w:szCs w:val="28"/>
    </w:rPr>
  </w:style>
  <w:style w:type="character" w:customStyle="1" w:styleId="Kop5Char">
    <w:name w:val="Kop 5 Char"/>
    <w:basedOn w:val="Standaardalinea-lettertype"/>
    <w:link w:val="Kop5"/>
    <w:uiPriority w:val="9"/>
    <w:semiHidden/>
    <w:rsid w:val="008335BD"/>
    <w:rPr>
      <w:b/>
      <w:bCs/>
      <w:i/>
      <w:iCs/>
      <w:sz w:val="26"/>
      <w:szCs w:val="26"/>
    </w:rPr>
  </w:style>
  <w:style w:type="character" w:customStyle="1" w:styleId="Kop6Char">
    <w:name w:val="Kop 6 Char"/>
    <w:basedOn w:val="Standaardalinea-lettertype"/>
    <w:link w:val="Kop6"/>
    <w:uiPriority w:val="9"/>
    <w:semiHidden/>
    <w:rsid w:val="008335BD"/>
    <w:rPr>
      <w:b/>
      <w:bCs/>
    </w:rPr>
  </w:style>
  <w:style w:type="character" w:customStyle="1" w:styleId="Kop7Char">
    <w:name w:val="Kop 7 Char"/>
    <w:basedOn w:val="Standaardalinea-lettertype"/>
    <w:link w:val="Kop7"/>
    <w:uiPriority w:val="9"/>
    <w:semiHidden/>
    <w:rsid w:val="008335BD"/>
    <w:rPr>
      <w:sz w:val="24"/>
      <w:szCs w:val="24"/>
    </w:rPr>
  </w:style>
  <w:style w:type="character" w:customStyle="1" w:styleId="Kop8Char">
    <w:name w:val="Kop 8 Char"/>
    <w:basedOn w:val="Standaardalinea-lettertype"/>
    <w:link w:val="Kop8"/>
    <w:uiPriority w:val="9"/>
    <w:semiHidden/>
    <w:rsid w:val="008335BD"/>
    <w:rPr>
      <w:i/>
      <w:iCs/>
      <w:sz w:val="24"/>
      <w:szCs w:val="24"/>
    </w:rPr>
  </w:style>
  <w:style w:type="character" w:customStyle="1" w:styleId="Kop9Char">
    <w:name w:val="Kop 9 Char"/>
    <w:basedOn w:val="Standaardalinea-lettertype"/>
    <w:link w:val="Kop9"/>
    <w:uiPriority w:val="9"/>
    <w:semiHidden/>
    <w:rsid w:val="008335BD"/>
    <w:rPr>
      <w:rFonts w:asciiTheme="majorHAnsi" w:eastAsiaTheme="majorEastAsia" w:hAnsiTheme="majorHAnsi"/>
    </w:rPr>
  </w:style>
  <w:style w:type="paragraph" w:styleId="Titel">
    <w:name w:val="Title"/>
    <w:basedOn w:val="Standaard"/>
    <w:next w:val="Standaard"/>
    <w:link w:val="TitelChar"/>
    <w:uiPriority w:val="10"/>
    <w:qFormat/>
    <w:rsid w:val="008335BD"/>
    <w:pPr>
      <w:spacing w:before="240" w:after="60"/>
      <w:jc w:val="center"/>
      <w:outlineLvl w:val="0"/>
    </w:pPr>
    <w:rPr>
      <w:rFonts w:asciiTheme="majorHAnsi" w:eastAsiaTheme="majorEastAsia" w:hAnsiTheme="majorHAnsi"/>
      <w:b/>
      <w:bCs/>
      <w:kern w:val="28"/>
      <w:sz w:val="32"/>
      <w:szCs w:val="32"/>
    </w:rPr>
  </w:style>
  <w:style w:type="character" w:customStyle="1" w:styleId="TitelChar">
    <w:name w:val="Titel Char"/>
    <w:basedOn w:val="Standaardalinea-lettertype"/>
    <w:link w:val="Titel"/>
    <w:uiPriority w:val="10"/>
    <w:rsid w:val="008335BD"/>
    <w:rPr>
      <w:rFonts w:asciiTheme="majorHAnsi" w:eastAsiaTheme="majorEastAsia" w:hAnsiTheme="majorHAnsi"/>
      <w:b/>
      <w:bCs/>
      <w:kern w:val="28"/>
      <w:sz w:val="32"/>
      <w:szCs w:val="32"/>
    </w:rPr>
  </w:style>
  <w:style w:type="paragraph" w:styleId="Ondertitel">
    <w:name w:val="Subtitle"/>
    <w:basedOn w:val="Standaard"/>
    <w:next w:val="Standaard"/>
    <w:link w:val="OndertitelChar"/>
    <w:uiPriority w:val="11"/>
    <w:qFormat/>
    <w:rsid w:val="008335BD"/>
    <w:pPr>
      <w:spacing w:after="60"/>
      <w:jc w:val="center"/>
      <w:outlineLvl w:val="1"/>
    </w:pPr>
    <w:rPr>
      <w:rFonts w:asciiTheme="majorHAnsi" w:eastAsiaTheme="majorEastAsia" w:hAnsiTheme="majorHAnsi"/>
    </w:rPr>
  </w:style>
  <w:style w:type="character" w:customStyle="1" w:styleId="OndertitelChar">
    <w:name w:val="Ondertitel Char"/>
    <w:basedOn w:val="Standaardalinea-lettertype"/>
    <w:link w:val="Ondertitel"/>
    <w:uiPriority w:val="11"/>
    <w:rsid w:val="008335BD"/>
    <w:rPr>
      <w:rFonts w:asciiTheme="majorHAnsi" w:eastAsiaTheme="majorEastAsia" w:hAnsiTheme="majorHAnsi"/>
      <w:sz w:val="24"/>
      <w:szCs w:val="24"/>
    </w:rPr>
  </w:style>
  <w:style w:type="character" w:styleId="Zwaar">
    <w:name w:val="Strong"/>
    <w:basedOn w:val="Standaardalinea-lettertype"/>
    <w:uiPriority w:val="22"/>
    <w:qFormat/>
    <w:rsid w:val="008335BD"/>
    <w:rPr>
      <w:b/>
      <w:bCs/>
    </w:rPr>
  </w:style>
  <w:style w:type="character" w:styleId="Nadruk">
    <w:name w:val="Emphasis"/>
    <w:basedOn w:val="Standaardalinea-lettertype"/>
    <w:uiPriority w:val="20"/>
    <w:qFormat/>
    <w:rsid w:val="008335BD"/>
    <w:rPr>
      <w:rFonts w:asciiTheme="minorHAnsi" w:hAnsiTheme="minorHAnsi"/>
      <w:b/>
      <w:i/>
      <w:iCs/>
    </w:rPr>
  </w:style>
  <w:style w:type="paragraph" w:styleId="Geenafstand">
    <w:name w:val="No Spacing"/>
    <w:basedOn w:val="Standaard"/>
    <w:uiPriority w:val="1"/>
    <w:qFormat/>
    <w:rsid w:val="008335BD"/>
    <w:rPr>
      <w:szCs w:val="32"/>
    </w:rPr>
  </w:style>
  <w:style w:type="paragraph" w:styleId="Lijstalinea">
    <w:name w:val="List Paragraph"/>
    <w:aliases w:val="Reference List"/>
    <w:basedOn w:val="Standaard"/>
    <w:link w:val="LijstalineaChar"/>
    <w:uiPriority w:val="34"/>
    <w:qFormat/>
    <w:rsid w:val="008335BD"/>
    <w:pPr>
      <w:ind w:left="720"/>
      <w:contextualSpacing/>
    </w:pPr>
  </w:style>
  <w:style w:type="paragraph" w:styleId="Citaat">
    <w:name w:val="Quote"/>
    <w:basedOn w:val="Standaard"/>
    <w:next w:val="Standaard"/>
    <w:link w:val="CitaatChar"/>
    <w:uiPriority w:val="29"/>
    <w:qFormat/>
    <w:rsid w:val="008335BD"/>
    <w:rPr>
      <w:i/>
    </w:rPr>
  </w:style>
  <w:style w:type="character" w:customStyle="1" w:styleId="CitaatChar">
    <w:name w:val="Citaat Char"/>
    <w:basedOn w:val="Standaardalinea-lettertype"/>
    <w:link w:val="Citaat"/>
    <w:uiPriority w:val="29"/>
    <w:rsid w:val="008335BD"/>
    <w:rPr>
      <w:i/>
      <w:sz w:val="24"/>
      <w:szCs w:val="24"/>
    </w:rPr>
  </w:style>
  <w:style w:type="paragraph" w:styleId="Duidelijkcitaat">
    <w:name w:val="Intense Quote"/>
    <w:basedOn w:val="Standaard"/>
    <w:next w:val="Standaard"/>
    <w:link w:val="DuidelijkcitaatChar"/>
    <w:uiPriority w:val="30"/>
    <w:qFormat/>
    <w:rsid w:val="008335BD"/>
    <w:pPr>
      <w:ind w:left="720" w:right="720"/>
    </w:pPr>
    <w:rPr>
      <w:b/>
      <w:i/>
      <w:szCs w:val="22"/>
    </w:rPr>
  </w:style>
  <w:style w:type="character" w:customStyle="1" w:styleId="DuidelijkcitaatChar">
    <w:name w:val="Duidelijk citaat Char"/>
    <w:basedOn w:val="Standaardalinea-lettertype"/>
    <w:link w:val="Duidelijkcitaat"/>
    <w:uiPriority w:val="30"/>
    <w:rsid w:val="008335BD"/>
    <w:rPr>
      <w:b/>
      <w:i/>
      <w:sz w:val="24"/>
    </w:rPr>
  </w:style>
  <w:style w:type="character" w:styleId="Subtielebenadrukking">
    <w:name w:val="Subtle Emphasis"/>
    <w:uiPriority w:val="19"/>
    <w:qFormat/>
    <w:rsid w:val="008335BD"/>
    <w:rPr>
      <w:i/>
      <w:color w:val="5A5A5A" w:themeColor="text1" w:themeTint="A5"/>
    </w:rPr>
  </w:style>
  <w:style w:type="character" w:styleId="Intensievebenadrukking">
    <w:name w:val="Intense Emphasis"/>
    <w:basedOn w:val="Standaardalinea-lettertype"/>
    <w:uiPriority w:val="21"/>
    <w:qFormat/>
    <w:rsid w:val="008335BD"/>
    <w:rPr>
      <w:b/>
      <w:i/>
      <w:sz w:val="24"/>
      <w:szCs w:val="24"/>
      <w:u w:val="single"/>
    </w:rPr>
  </w:style>
  <w:style w:type="character" w:styleId="Subtieleverwijzing">
    <w:name w:val="Subtle Reference"/>
    <w:basedOn w:val="Standaardalinea-lettertype"/>
    <w:uiPriority w:val="31"/>
    <w:qFormat/>
    <w:rsid w:val="008335BD"/>
    <w:rPr>
      <w:sz w:val="24"/>
      <w:szCs w:val="24"/>
      <w:u w:val="single"/>
    </w:rPr>
  </w:style>
  <w:style w:type="character" w:styleId="Intensieveverwijzing">
    <w:name w:val="Intense Reference"/>
    <w:basedOn w:val="Standaardalinea-lettertype"/>
    <w:uiPriority w:val="32"/>
    <w:qFormat/>
    <w:rsid w:val="008335BD"/>
    <w:rPr>
      <w:b/>
      <w:sz w:val="24"/>
      <w:u w:val="single"/>
    </w:rPr>
  </w:style>
  <w:style w:type="character" w:styleId="Titelvanboek">
    <w:name w:val="Book Title"/>
    <w:basedOn w:val="Standaardalinea-lettertype"/>
    <w:uiPriority w:val="33"/>
    <w:qFormat/>
    <w:rsid w:val="008335BD"/>
    <w:rPr>
      <w:rFonts w:asciiTheme="majorHAnsi" w:eastAsiaTheme="majorEastAsia" w:hAnsiTheme="majorHAnsi"/>
      <w:b/>
      <w:i/>
      <w:sz w:val="24"/>
      <w:szCs w:val="24"/>
    </w:rPr>
  </w:style>
  <w:style w:type="paragraph" w:styleId="Kopvaninhoudsopgave">
    <w:name w:val="TOC Heading"/>
    <w:basedOn w:val="Kop1"/>
    <w:next w:val="Standaard"/>
    <w:uiPriority w:val="39"/>
    <w:semiHidden/>
    <w:unhideWhenUsed/>
    <w:qFormat/>
    <w:rsid w:val="008335BD"/>
    <w:pPr>
      <w:outlineLvl w:val="9"/>
    </w:pPr>
  </w:style>
  <w:style w:type="paragraph" w:customStyle="1" w:styleId="ReportBodyTextIndent">
    <w:name w:val="*Report Body Text Indent"/>
    <w:basedOn w:val="Standaard"/>
    <w:rsid w:val="00F1487B"/>
    <w:pPr>
      <w:spacing w:line="264" w:lineRule="auto"/>
      <w:ind w:left="851"/>
    </w:pPr>
    <w:rPr>
      <w:szCs w:val="22"/>
    </w:rPr>
  </w:style>
  <w:style w:type="paragraph" w:styleId="Plattetekst">
    <w:name w:val="Body Text"/>
    <w:basedOn w:val="Standaard"/>
    <w:link w:val="PlattetekstChar"/>
    <w:rsid w:val="00F1487B"/>
    <w:pPr>
      <w:jc w:val="both"/>
    </w:pPr>
    <w:rPr>
      <w:rFonts w:ascii="Times New Roman" w:hAnsi="Times New Roman"/>
      <w:sz w:val="22"/>
      <w:szCs w:val="22"/>
    </w:rPr>
  </w:style>
  <w:style w:type="character" w:customStyle="1" w:styleId="PlattetekstChar">
    <w:name w:val="Platte tekst Char"/>
    <w:basedOn w:val="Standaardalinea-lettertype"/>
    <w:link w:val="Plattetekst"/>
    <w:rsid w:val="00F1487B"/>
    <w:rPr>
      <w:rFonts w:ascii="Times New Roman" w:eastAsia="Times New Roman" w:hAnsi="Times New Roman" w:cs="Times New Roman"/>
      <w:sz w:val="22"/>
      <w:szCs w:val="22"/>
      <w:lang w:val="nl-NL"/>
    </w:rPr>
  </w:style>
  <w:style w:type="character" w:customStyle="1" w:styleId="LijstalineaChar">
    <w:name w:val="Lijstalinea Char"/>
    <w:aliases w:val="Reference List Char"/>
    <w:link w:val="Lijstalinea"/>
    <w:uiPriority w:val="34"/>
    <w:locked/>
    <w:rsid w:val="00F1487B"/>
  </w:style>
  <w:style w:type="paragraph" w:customStyle="1" w:styleId="TableParagraph">
    <w:name w:val="Table Paragraph"/>
    <w:basedOn w:val="Standaard"/>
    <w:uiPriority w:val="1"/>
    <w:qFormat/>
    <w:rsid w:val="00F1487B"/>
    <w:pPr>
      <w:widowControl w:val="0"/>
      <w:autoSpaceDE w:val="0"/>
      <w:autoSpaceDN w:val="0"/>
    </w:pPr>
    <w:rPr>
      <w:rFonts w:eastAsia="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c4a16688-8cd4-419f-9c24-7f057d02a43d</TitusGUID>
  <TitusMetadata xmlns="">eyJucyI6Imh0dHA6XC9cL3d3dy50aXR1cy5jb21cL25zXC9BT04iLCJwcm9wcyI6W3sibiI6IkFvbkNsYXNzaWZpY2F0aW9uIiwidmFscyI6W3sidmFsdWUiOiJBRENfY2xhc3NfMjAwIn1dfSx7Im4iOiJBb25SZXN0cmljdGVkIiwidmFscyI6W119LHsibiI6IkFvblZpc3VhbE1hcmtpbmdzIiwidmFscyI6W119XX0=</TitusMetadata>
</titus>
</file>

<file path=customXml/itemProps1.xml><?xml version="1.0" encoding="utf-8"?>
<ds:datastoreItem xmlns:ds="http://schemas.openxmlformats.org/officeDocument/2006/customXml" ds:itemID="{D272F960-25B5-475F-B687-3B1B49055FCA}">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1880</Words>
  <Characters>11092</Characters>
  <Application>Microsoft Office Word</Application>
  <DocSecurity>0</DocSecurity>
  <Lines>652</Lines>
  <Paragraphs>370</Paragraphs>
  <ScaleCrop>false</ScaleCrop>
  <Company>Aon</Company>
  <LinksUpToDate>false</LinksUpToDate>
  <CharactersWithSpaces>12602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Meryl Guilherme - Freire</dc:creator>
  <cp:keywords/>
  <dc:description/>
  <cp:lastModifiedBy>Meryl Guilherme - Freire</cp:lastModifiedBy>
  <cp:revision>1</cp:revision>
  <dcterms:created xsi:type="dcterms:W3CDTF">2023-09-21T15:26:00Z</dcterms:created>
  <dcterms:modified xsi:type="dcterms:W3CDTF">2023-09-21T15:26:00Z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c4a16688-8cd4-419f-9c24-7f057d02a43d</vt:lpwstr>
  </property>
  <property fmtid="{D5CDD505-2E9C-101B-9397-08002B2CF9AE}" pid="3" name="AonClassification">
    <vt:lpwstr>ADC_class_200</vt:lpwstr>
  </property>
</Properties>
</file>