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63B" w:rsidRPr="00F7507C" w:rsidRDefault="0059563B" w:rsidP="0059563B">
      <w:pPr>
        <w:pStyle w:val="Kop1"/>
        <w:rPr>
          <w:rFonts w:ascii="Verdana" w:hAnsi="Verdana"/>
          <w:b/>
          <w:bCs/>
          <w:color w:val="auto"/>
          <w:sz w:val="22"/>
          <w:szCs w:val="22"/>
        </w:rPr>
      </w:pPr>
      <w:bookmarkStart w:id="0" w:name="_GoBack"/>
      <w:bookmarkEnd w:id="0"/>
      <w:r w:rsidRPr="00F7507C">
        <w:rPr>
          <w:rFonts w:ascii="Verdana" w:hAnsi="Verdana"/>
          <w:b/>
          <w:bCs/>
          <w:color w:val="auto"/>
          <w:sz w:val="22"/>
          <w:szCs w:val="22"/>
        </w:rPr>
        <w:t>Bijlage</w:t>
      </w:r>
      <w:r w:rsidRPr="006F7A80">
        <w:rPr>
          <w:rFonts w:ascii="Verdana" w:hAnsi="Verdana"/>
          <w:b/>
          <w:bCs/>
          <w:color w:val="auto"/>
          <w:sz w:val="22"/>
          <w:szCs w:val="22"/>
        </w:rPr>
        <w:t>: Beveiligingskader</w:t>
      </w:r>
    </w:p>
    <w:p w:rsidR="0059563B" w:rsidRDefault="0059563B" w:rsidP="0059563B">
      <w:pPr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beveiligingskader rond informatiebeveiliging van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wordt gevormd door de CIA-triade. Zie ook onderstaande afbeelding.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jc w:val="center"/>
        <w:rPr>
          <w:rFonts w:ascii="Verdana" w:hAnsi="Verdana"/>
          <w:sz w:val="18"/>
          <w:szCs w:val="18"/>
        </w:rPr>
      </w:pPr>
      <w:r w:rsidRPr="00974057">
        <w:rPr>
          <w:rFonts w:ascii="Verdana" w:hAnsi="Verdana"/>
          <w:noProof/>
          <w:sz w:val="18"/>
          <w:szCs w:val="18"/>
          <w:lang w:eastAsia="nl-NL"/>
        </w:rPr>
        <w:drawing>
          <wp:inline distT="0" distB="0" distL="0" distR="0" wp14:anchorId="7A6AA60D" wp14:editId="6871402C">
            <wp:extent cx="2776127" cy="2108718"/>
            <wp:effectExtent l="0" t="0" r="5715" b="6350"/>
            <wp:docPr id="8" name="Afbeelding 7">
              <a:extLst xmlns:a="http://schemas.openxmlformats.org/drawingml/2006/main">
                <a:ext uri="{FF2B5EF4-FFF2-40B4-BE49-F238E27FC236}">
                  <a16:creationId xmlns:a16="http://schemas.microsoft.com/office/drawing/2014/main" id="{CC380402-BF44-4B80-A973-1BF8409DF9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7">
                      <a:extLst>
                        <a:ext uri="{FF2B5EF4-FFF2-40B4-BE49-F238E27FC236}">
                          <a16:creationId xmlns:a16="http://schemas.microsoft.com/office/drawing/2014/main" id="{CC380402-BF44-4B80-A973-1BF8409DF9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0346" cy="212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63B" w:rsidRPr="0059563B" w:rsidRDefault="0059563B" w:rsidP="0059563B">
      <w:pPr>
        <w:pStyle w:val="Lijstalinea"/>
        <w:tabs>
          <w:tab w:val="left" w:pos="2552"/>
        </w:tabs>
        <w:ind w:left="360"/>
        <w:rPr>
          <w:rFonts w:ascii="Verdana" w:hAnsi="Verdana"/>
          <w:i/>
          <w:iCs/>
          <w:sz w:val="14"/>
          <w:szCs w:val="14"/>
          <w:lang w:val="en-US"/>
        </w:rPr>
      </w:pPr>
      <w:r w:rsidRPr="00C44897">
        <w:rPr>
          <w:rFonts w:ascii="Verdana" w:hAnsi="Verdana"/>
          <w:i/>
          <w:iCs/>
          <w:sz w:val="14"/>
          <w:szCs w:val="14"/>
        </w:rPr>
        <w:tab/>
      </w:r>
      <w:r w:rsidRPr="0059563B">
        <w:rPr>
          <w:rFonts w:ascii="Verdana" w:hAnsi="Verdana"/>
          <w:i/>
          <w:iCs/>
          <w:sz w:val="14"/>
          <w:szCs w:val="14"/>
          <w:lang w:val="en-US"/>
        </w:rPr>
        <w:t>Afbeelding: CIA triade</w:t>
      </w:r>
    </w:p>
    <w:p w:rsidR="0059563B" w:rsidRPr="0059563B" w:rsidRDefault="0059563B" w:rsidP="0059563B">
      <w:pPr>
        <w:pStyle w:val="Lijstalinea"/>
        <w:tabs>
          <w:tab w:val="left" w:pos="2552"/>
        </w:tabs>
        <w:ind w:left="360"/>
        <w:rPr>
          <w:rFonts w:ascii="Verdana" w:hAnsi="Verdana"/>
          <w:i/>
          <w:iCs/>
          <w:sz w:val="14"/>
          <w:szCs w:val="14"/>
          <w:lang w:val="en-US"/>
        </w:rPr>
      </w:pPr>
    </w:p>
    <w:p w:rsidR="0059563B" w:rsidRPr="0059563B" w:rsidRDefault="0059563B" w:rsidP="0059563B">
      <w:pPr>
        <w:pStyle w:val="Lijstalinea"/>
        <w:tabs>
          <w:tab w:val="left" w:pos="2552"/>
        </w:tabs>
        <w:ind w:left="360"/>
        <w:rPr>
          <w:rFonts w:ascii="Verdana" w:hAnsi="Verdana"/>
          <w:i/>
          <w:iCs/>
          <w:sz w:val="14"/>
          <w:szCs w:val="14"/>
          <w:lang w:val="en-US"/>
        </w:rPr>
      </w:pPr>
    </w:p>
    <w:p w:rsidR="0059563B" w:rsidRPr="0059563B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  <w:lang w:val="en-US"/>
        </w:rPr>
      </w:pPr>
      <w:r w:rsidRPr="0059563B">
        <w:rPr>
          <w:rFonts w:ascii="Verdana" w:hAnsi="Verdana"/>
          <w:sz w:val="18"/>
          <w:szCs w:val="18"/>
          <w:lang w:val="en-US"/>
        </w:rPr>
        <w:br/>
      </w:r>
    </w:p>
    <w:p w:rsidR="0059563B" w:rsidRPr="0059563B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  <w:lang w:val="en-US"/>
        </w:rPr>
      </w:pPr>
      <w:r w:rsidRPr="0059563B">
        <w:rPr>
          <w:rFonts w:ascii="Verdana" w:hAnsi="Verdana"/>
          <w:b/>
          <w:bCs/>
          <w:sz w:val="18"/>
          <w:szCs w:val="18"/>
          <w:lang w:val="en-US"/>
        </w:rPr>
        <w:t>Information security:</w:t>
      </w:r>
    </w:p>
    <w:p w:rsidR="0059563B" w:rsidRDefault="0059563B" w:rsidP="0059563B">
      <w:pPr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betreft een op Microsoft Azure Cloud gebaseerde dienst en wordt geleverd as-is. Het hart van het  beveiligingskader vormt het ISMS framework van Microsoft Azure Cloud. Zie ook onderstaande afbeelding.</w:t>
      </w:r>
    </w:p>
    <w:p w:rsidR="0059563B" w:rsidRPr="006B413E" w:rsidRDefault="0059563B" w:rsidP="0059563B">
      <w:pPr>
        <w:ind w:left="360"/>
        <w:rPr>
          <w:rFonts w:ascii="Verdana" w:hAnsi="Verdana"/>
          <w:sz w:val="18"/>
          <w:szCs w:val="18"/>
        </w:rPr>
      </w:pPr>
      <w:r w:rsidRPr="006B413E">
        <w:rPr>
          <w:rFonts w:ascii="Verdana" w:hAnsi="Verdana"/>
          <w:sz w:val="18"/>
          <w:szCs w:val="18"/>
        </w:rPr>
        <w:t xml:space="preserve">Opdrachtgever heeft kennis genomen van de aard, het niveau en de omvang van </w:t>
      </w:r>
      <w:r>
        <w:rPr>
          <w:rFonts w:ascii="Verdana" w:hAnsi="Verdana"/>
          <w:sz w:val="18"/>
          <w:szCs w:val="18"/>
        </w:rPr>
        <w:t xml:space="preserve">het </w:t>
      </w:r>
      <w:r w:rsidRPr="006B413E">
        <w:rPr>
          <w:rFonts w:ascii="Verdana" w:hAnsi="Verdana"/>
          <w:sz w:val="18"/>
          <w:szCs w:val="18"/>
        </w:rPr>
        <w:t xml:space="preserve">Microsoft </w:t>
      </w:r>
      <w:r>
        <w:rPr>
          <w:rFonts w:ascii="Verdana" w:hAnsi="Verdana"/>
          <w:sz w:val="18"/>
          <w:szCs w:val="18"/>
        </w:rPr>
        <w:t xml:space="preserve">ISMS programma voor informatiebeveiliging </w:t>
      </w:r>
      <w:r w:rsidRPr="006B413E">
        <w:rPr>
          <w:rFonts w:ascii="Verdana" w:hAnsi="Verdana"/>
          <w:sz w:val="18"/>
          <w:szCs w:val="18"/>
        </w:rPr>
        <w:t>en heeft deze als voldoende beoordeeld en geaccepteerd.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jc w:val="center"/>
        <w:rPr>
          <w:rFonts w:ascii="Verdana" w:hAnsi="Verdana"/>
          <w:sz w:val="18"/>
          <w:szCs w:val="18"/>
        </w:rPr>
      </w:pPr>
      <w:r>
        <w:rPr>
          <w:noProof/>
          <w:lang w:eastAsia="nl-NL"/>
        </w:rPr>
        <w:drawing>
          <wp:inline distT="0" distB="0" distL="0" distR="0" wp14:anchorId="5BB7D723" wp14:editId="36C53CEC">
            <wp:extent cx="4254500" cy="2711117"/>
            <wp:effectExtent l="38100" t="38100" r="88900" b="8953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6421" cy="2725086"/>
                    </a:xfrm>
                    <a:prstGeom prst="rect">
                      <a:avLst/>
                    </a:prstGeom>
                    <a:ln w="3175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59563B" w:rsidRPr="00F7507C" w:rsidRDefault="0059563B" w:rsidP="0059563B">
      <w:pPr>
        <w:pStyle w:val="Lijstalinea"/>
        <w:ind w:left="360"/>
        <w:rPr>
          <w:rFonts w:ascii="Verdana" w:hAnsi="Verdana"/>
          <w:i/>
          <w:iCs/>
          <w:sz w:val="14"/>
          <w:szCs w:val="14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F7507C">
        <w:rPr>
          <w:rFonts w:ascii="Verdana" w:hAnsi="Verdana"/>
          <w:i/>
          <w:iCs/>
          <w:sz w:val="14"/>
          <w:szCs w:val="14"/>
        </w:rPr>
        <w:t>Bron: Microsoft Trust Center</w:t>
      </w:r>
    </w:p>
    <w:p w:rsidR="0059563B" w:rsidRPr="00F7507C" w:rsidRDefault="0059563B" w:rsidP="0059563B">
      <w:pPr>
        <w:pStyle w:val="Lijstalinea"/>
        <w:ind w:left="360"/>
        <w:rPr>
          <w:rFonts w:ascii="Verdana" w:hAnsi="Verdana"/>
          <w:i/>
          <w:iCs/>
          <w:sz w:val="14"/>
          <w:szCs w:val="14"/>
        </w:rPr>
      </w:pPr>
    </w:p>
    <w:p w:rsidR="0059563B" w:rsidRDefault="0059563B" w:rsidP="0059563B">
      <w:pPr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Uitgebreide informatie over beveiliging, privacy en compliance is te vinden op het Microsoft Trust center (</w:t>
      </w:r>
      <w:hyperlink r:id="rId9" w:history="1">
        <w:r w:rsidRPr="00B9394A">
          <w:rPr>
            <w:rStyle w:val="Hyperlink"/>
            <w:rFonts w:ascii="Verdana" w:hAnsi="Verdana"/>
            <w:sz w:val="18"/>
            <w:szCs w:val="18"/>
          </w:rPr>
          <w:t>https://www.microsoft.com/nl-nl/trust-center/product-overview</w:t>
        </w:r>
      </w:hyperlink>
      <w:r>
        <w:rPr>
          <w:rFonts w:ascii="Verdana" w:hAnsi="Verdana"/>
          <w:sz w:val="18"/>
          <w:szCs w:val="18"/>
        </w:rPr>
        <w:t>).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ind w:firstLine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afspraken uit dit BVO zullen door partijen ten uitvoer worden gebracht uitsluitend indien de van toepassing zijnde Microsoft-voorwaarden dit mogelijk maken respectievelijk de Microsoft voorwaarden hierin niet voorzien. Indien dit niet mogelijk is, dan accepteren partijen het door Microsoft bepaalde daaromtrent.</w:t>
      </w:r>
      <w:r>
        <w:rPr>
          <w:rFonts w:ascii="Verdana" w:hAnsi="Verdana"/>
          <w:sz w:val="18"/>
          <w:szCs w:val="18"/>
        </w:rPr>
        <w:br/>
      </w:r>
    </w:p>
    <w:p w:rsidR="0059563B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</w:rPr>
      </w:pPr>
    </w:p>
    <w:p w:rsidR="0059563B" w:rsidRPr="00C44897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Confidentiality 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</w:t>
      </w:r>
      <w:r w:rsidRPr="00C44897">
        <w:rPr>
          <w:rFonts w:ascii="Verdana" w:hAnsi="Verdana"/>
          <w:sz w:val="18"/>
          <w:szCs w:val="18"/>
        </w:rPr>
        <w:t xml:space="preserve">ertrouwelijkheid van de informatie </w:t>
      </w:r>
      <w:r>
        <w:rPr>
          <w:rFonts w:ascii="Verdana" w:hAnsi="Verdana"/>
          <w:sz w:val="18"/>
          <w:szCs w:val="18"/>
        </w:rPr>
        <w:t>vereist dat a</w:t>
      </w:r>
      <w:r w:rsidRPr="00C44897">
        <w:rPr>
          <w:rFonts w:ascii="Verdana" w:hAnsi="Verdana"/>
          <w:sz w:val="18"/>
          <w:szCs w:val="18"/>
        </w:rPr>
        <w:t xml:space="preserve">lleen de personen voor wie de informatie </w:t>
      </w:r>
      <w:r>
        <w:rPr>
          <w:rFonts w:ascii="Verdana" w:hAnsi="Verdana"/>
          <w:sz w:val="18"/>
          <w:szCs w:val="18"/>
        </w:rPr>
        <w:t xml:space="preserve">is </w:t>
      </w:r>
      <w:r w:rsidRPr="00C44897">
        <w:rPr>
          <w:rFonts w:ascii="Verdana" w:hAnsi="Verdana"/>
          <w:sz w:val="18"/>
          <w:szCs w:val="18"/>
        </w:rPr>
        <w:t>bedoeld</w:t>
      </w:r>
      <w:r>
        <w:rPr>
          <w:rFonts w:ascii="Verdana" w:hAnsi="Verdana"/>
          <w:sz w:val="18"/>
          <w:szCs w:val="18"/>
        </w:rPr>
        <w:t xml:space="preserve">, toegang krijgen tot deze informatie. 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opdrachtnemer staat binnen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een robuust Role Based Access systeem beschikbaar. Opdrachtnemer is zelf verantwoordelijk voor het creëren van named useraccounts en het verstrekken van de rollen en permissies binnen de juiste context van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. 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TVMC garandeert de juiste werking van het RBAC-mechanisme.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Pr="00C44897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Pr="00C44897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Integrity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wordt door gebruikers van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opgeslagen in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.  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TVMC garandeert data privacy en geautoriseerde data access, afgeschermd door het RBAC mechanisme van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. TVMC garandeert niet dat de data die in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door gebruikers in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is opgeslagen op zichzelf correct, geschikt en juist is.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Pr="00C44897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</w:p>
    <w:p w:rsidR="0059563B" w:rsidRDefault="0059563B" w:rsidP="0059563B">
      <w:pPr>
        <w:pStyle w:val="Lijstalinea"/>
        <w:ind w:left="36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Availability 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TVMC garandeert de beschikbaarheid van </w:t>
      </w:r>
      <w:r>
        <w:rPr>
          <w:rFonts w:ascii="Verdana" w:hAnsi="Verdana"/>
          <w:b/>
          <w:sz w:val="18"/>
          <w:szCs w:val="18"/>
        </w:rPr>
        <w:t>Leverancier</w:t>
      </w:r>
      <w:r>
        <w:rPr>
          <w:rFonts w:ascii="Verdana" w:hAnsi="Verdana"/>
          <w:sz w:val="18"/>
          <w:szCs w:val="18"/>
        </w:rPr>
        <w:t xml:space="preserve"> 24 x 7 (gebaseerd op Microsoft warranties 99,99 %)</w:t>
      </w:r>
    </w:p>
    <w:p w:rsidR="0059563B" w:rsidRDefault="0059563B" w:rsidP="0059563B">
      <w:pPr>
        <w:pStyle w:val="Lijstalinea"/>
        <w:ind w:left="3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 het koppelvlak tussen TVMC en Opdrachtnemer heeft TVMC de navolgende processen ingericht op basis van Secure Dev Ops:</w:t>
      </w:r>
    </w:p>
    <w:p w:rsidR="0059563B" w:rsidRDefault="0059563B" w:rsidP="0059563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Configuration Management;</w:t>
      </w:r>
    </w:p>
    <w:p w:rsidR="0059563B" w:rsidRDefault="0059563B" w:rsidP="0059563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Incident management;</w:t>
      </w:r>
    </w:p>
    <w:p w:rsidR="0059563B" w:rsidRDefault="0059563B" w:rsidP="0059563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Change Management;</w:t>
      </w:r>
    </w:p>
    <w:p w:rsidR="0059563B" w:rsidRDefault="0059563B" w:rsidP="0059563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Problem Management;</w:t>
      </w:r>
    </w:p>
    <w:p w:rsidR="0059563B" w:rsidRDefault="0059563B" w:rsidP="0059563B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Release Management</w:t>
      </w:r>
    </w:p>
    <w:p w:rsidR="0059563B" w:rsidRPr="006F7A80" w:rsidRDefault="0059563B" w:rsidP="0059563B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18"/>
          <w:szCs w:val="18"/>
        </w:rPr>
        <w:t>TVMC garandeert de opzet, bestaan en werking van deze processen. Een en ander zoals vastgelegd in de SL</w:t>
      </w:r>
      <w:r w:rsidRPr="00C75629">
        <w:rPr>
          <w:rFonts w:ascii="Verdana" w:hAnsi="Verdana"/>
          <w:sz w:val="18"/>
          <w:szCs w:val="18"/>
        </w:rPr>
        <w:t>A.</w:t>
      </w:r>
      <w:r>
        <w:rPr>
          <w:rFonts w:ascii="Verdana" w:hAnsi="Verdana"/>
          <w:sz w:val="18"/>
          <w:szCs w:val="18"/>
        </w:rPr>
        <w:br/>
      </w:r>
      <w:r w:rsidRPr="006F7A80">
        <w:rPr>
          <w:rFonts w:ascii="Verdana" w:hAnsi="Verdana"/>
          <w:sz w:val="20"/>
          <w:szCs w:val="20"/>
        </w:rPr>
        <w:t> </w:t>
      </w:r>
    </w:p>
    <w:p w:rsidR="0059563B" w:rsidRDefault="0059563B" w:rsidP="0059563B">
      <w:pPr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</w:pPr>
      <w:r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  <w:br w:type="page"/>
      </w:r>
    </w:p>
    <w:p w:rsidR="0059563B" w:rsidRPr="0059563B" w:rsidRDefault="0059563B" w:rsidP="0059563B">
      <w:pPr>
        <w:ind w:left="284"/>
        <w:rPr>
          <w:rFonts w:ascii="Verdana" w:hAnsi="Verdana" w:cstheme="minorHAnsi"/>
          <w:b/>
          <w:bCs/>
          <w:color w:val="000000" w:themeColor="text1"/>
          <w:sz w:val="16"/>
          <w:szCs w:val="16"/>
        </w:rPr>
      </w:pPr>
      <w:r w:rsidRPr="006F7A80">
        <w:rPr>
          <w:rFonts w:ascii="Verdana" w:hAnsi="Verdana"/>
          <w:b/>
          <w:bCs/>
          <w:sz w:val="20"/>
          <w:szCs w:val="20"/>
        </w:rPr>
        <w:lastRenderedPageBreak/>
        <w:t>Beveiligingskader op het gebied van Gegevens, Eindpunten, Account en Toegangsbeheer</w:t>
      </w:r>
    </w:p>
    <w:p w:rsidR="0059563B" w:rsidRPr="0059563B" w:rsidRDefault="0059563B" w:rsidP="0059563B">
      <w:pPr>
        <w:ind w:firstLine="284"/>
        <w:rPr>
          <w:rFonts w:ascii="Verdana" w:hAnsi="Verdana" w:cstheme="minorHAnsi"/>
          <w:b/>
          <w:bCs/>
          <w:color w:val="000000" w:themeColor="text1"/>
          <w:sz w:val="18"/>
          <w:szCs w:val="18"/>
        </w:rPr>
      </w:pPr>
    </w:p>
    <w:p w:rsidR="0059563B" w:rsidRPr="006F7A80" w:rsidRDefault="0059563B" w:rsidP="0059563B">
      <w:pPr>
        <w:ind w:firstLine="284"/>
        <w:rPr>
          <w:rFonts w:ascii="Verdana" w:hAnsi="Verdana" w:cstheme="minorHAnsi"/>
          <w:b/>
          <w:bCs/>
          <w:color w:val="000000" w:themeColor="text1"/>
          <w:sz w:val="18"/>
          <w:szCs w:val="18"/>
        </w:rPr>
      </w:pPr>
      <w:r w:rsidRPr="006F7A80"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  <w:t xml:space="preserve">Gegevens 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 xml:space="preserve">TVMC owns holistic Data (information workload) management for our customers with Data Recovery, Backup and Storage redundancy strategy for high availability and reliability of </w:t>
      </w:r>
      <w:r w:rsidRPr="0059563B">
        <w:rPr>
          <w:rFonts w:ascii="Verdana" w:hAnsi="Verdana"/>
          <w:b/>
          <w:sz w:val="18"/>
          <w:szCs w:val="18"/>
          <w:lang w:val="en-US"/>
        </w:rPr>
        <w:t>Leverancier</w:t>
      </w:r>
      <w:r w:rsidRPr="0059563B">
        <w:rPr>
          <w:rFonts w:ascii="Verdana" w:hAnsi="Verdana"/>
          <w:sz w:val="18"/>
          <w:szCs w:val="18"/>
          <w:lang w:val="en-US"/>
        </w:rPr>
        <w:t xml:space="preserve"> </w:t>
      </w:r>
      <w:r w:rsidRPr="006F7A80">
        <w:rPr>
          <w:rFonts w:ascii="Verdana" w:hAnsi="Verdana" w:cstheme="minorHAnsi"/>
          <w:sz w:val="18"/>
          <w:szCs w:val="18"/>
          <w:lang w:val="en-US"/>
        </w:rPr>
        <w:t>SaaS platform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ensures At-rest data protection of customer data with Key Vault store, Virtual machine Encryption, Transparent Data encryption (TDE), Cell level Encryption (CLE) solutions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ensures In-transit data protection of customer data with Transport Layer Security (TLS) configurations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ensures customer data administration is restricted to only designated TVMC staff protected with multifactor authentication and governed by Non-disclosure agreement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 xml:space="preserve">TVMC ensures no Microsoft AZURE Operations or Support personnel has access to any sort of customer data </w:t>
      </w:r>
    </w:p>
    <w:p w:rsidR="0059563B" w:rsidRPr="0059563B" w:rsidRDefault="0059563B" w:rsidP="0059563B">
      <w:pPr>
        <w:spacing w:after="0" w:line="240" w:lineRule="auto"/>
        <w:ind w:left="720"/>
        <w:rPr>
          <w:rFonts w:ascii="Verdana" w:hAnsi="Verdana" w:cstheme="minorHAnsi"/>
          <w:sz w:val="18"/>
          <w:szCs w:val="18"/>
          <w:lang w:val="en-US"/>
        </w:rPr>
      </w:pPr>
    </w:p>
    <w:p w:rsidR="0059563B" w:rsidRPr="0059563B" w:rsidRDefault="0059563B" w:rsidP="0059563B">
      <w:pPr>
        <w:spacing w:after="0" w:line="240" w:lineRule="auto"/>
        <w:ind w:left="720"/>
        <w:rPr>
          <w:rFonts w:ascii="Verdana" w:hAnsi="Verdana" w:cstheme="minorHAnsi"/>
          <w:sz w:val="18"/>
          <w:szCs w:val="18"/>
          <w:lang w:val="en-US"/>
        </w:rPr>
      </w:pPr>
    </w:p>
    <w:p w:rsidR="0059563B" w:rsidRPr="006F7A80" w:rsidRDefault="0059563B" w:rsidP="0059563B">
      <w:pPr>
        <w:ind w:firstLine="284"/>
        <w:rPr>
          <w:rFonts w:ascii="Verdana" w:hAnsi="Verdana" w:cstheme="minorHAnsi"/>
          <w:b/>
          <w:bCs/>
          <w:color w:val="000000" w:themeColor="text1"/>
          <w:sz w:val="18"/>
          <w:szCs w:val="18"/>
        </w:rPr>
      </w:pPr>
      <w:r w:rsidRPr="006F7A80"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  <w:t>Eindpunten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protects server endpoints (Application servers, Data servers, Virtual machines) with firewall, Anti-Virus, Anti-malware protection, application whitelisting and PaaS deployment protection programs jointly with Microsoft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denies mobile based access to its server endpoints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does not have Bring your own device (BYOD) strategy for staff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ensures laptops devices used by its staff are running on Windows 10 operating system and associated Anti-virus software program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ensures all browser traffic to any of its Cloud resources, SaaS applications using In-transit HTTPS protocol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runs a security awareness program for its employees quarterly</w:t>
      </w:r>
    </w:p>
    <w:p w:rsidR="0059563B" w:rsidRPr="0059563B" w:rsidRDefault="0059563B" w:rsidP="0059563B">
      <w:pPr>
        <w:spacing w:after="0" w:line="240" w:lineRule="auto"/>
        <w:ind w:left="720"/>
        <w:rPr>
          <w:rFonts w:ascii="Verdana" w:hAnsi="Verdana" w:cstheme="minorHAnsi"/>
          <w:sz w:val="18"/>
          <w:szCs w:val="18"/>
          <w:lang w:val="en-US"/>
        </w:rPr>
      </w:pPr>
    </w:p>
    <w:p w:rsidR="0059563B" w:rsidRPr="0059563B" w:rsidRDefault="0059563B" w:rsidP="0059563B">
      <w:pPr>
        <w:spacing w:after="0" w:line="240" w:lineRule="auto"/>
        <w:ind w:left="720"/>
        <w:rPr>
          <w:rFonts w:ascii="Verdana" w:hAnsi="Verdana" w:cstheme="minorHAnsi"/>
          <w:sz w:val="18"/>
          <w:szCs w:val="18"/>
          <w:lang w:val="en-US"/>
        </w:rPr>
      </w:pPr>
    </w:p>
    <w:p w:rsidR="0059563B" w:rsidRPr="006F7A80" w:rsidRDefault="0059563B" w:rsidP="0059563B">
      <w:pPr>
        <w:ind w:firstLine="284"/>
        <w:rPr>
          <w:rFonts w:ascii="Verdana" w:hAnsi="Verdana" w:cstheme="minorHAnsi"/>
          <w:b/>
          <w:bCs/>
          <w:color w:val="000000" w:themeColor="text1"/>
          <w:sz w:val="18"/>
          <w:szCs w:val="18"/>
        </w:rPr>
      </w:pPr>
      <w:r w:rsidRPr="006F7A80"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  <w:t>Account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uses Microsoft Office 365 for its staff for account management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uses AZURE Active Directory (AAD) as Identity &amp; Access management solution to manage and protect customer accounts</w:t>
      </w:r>
    </w:p>
    <w:p w:rsidR="0059563B" w:rsidRPr="0059563B" w:rsidRDefault="0059563B" w:rsidP="0059563B">
      <w:pPr>
        <w:spacing w:after="0" w:line="240" w:lineRule="auto"/>
        <w:ind w:left="360"/>
        <w:rPr>
          <w:rFonts w:ascii="Verdana" w:hAnsi="Verdana" w:cstheme="minorHAnsi"/>
          <w:sz w:val="18"/>
          <w:szCs w:val="18"/>
          <w:lang w:val="en-US"/>
        </w:rPr>
      </w:pPr>
    </w:p>
    <w:p w:rsidR="0059563B" w:rsidRPr="0059563B" w:rsidRDefault="0059563B" w:rsidP="0059563B">
      <w:p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</w:p>
    <w:p w:rsidR="0059563B" w:rsidRPr="006F7A80" w:rsidRDefault="0059563B" w:rsidP="0059563B">
      <w:pPr>
        <w:ind w:firstLine="360"/>
        <w:rPr>
          <w:rFonts w:ascii="Verdana" w:hAnsi="Verdana" w:cstheme="minorHAnsi"/>
          <w:b/>
          <w:bCs/>
          <w:color w:val="000000" w:themeColor="text1"/>
          <w:sz w:val="18"/>
          <w:szCs w:val="18"/>
        </w:rPr>
      </w:pPr>
      <w:r w:rsidRPr="006F7A80">
        <w:rPr>
          <w:rFonts w:ascii="Verdana" w:hAnsi="Verdana" w:cstheme="minorHAnsi"/>
          <w:b/>
          <w:bCs/>
          <w:color w:val="000000" w:themeColor="text1"/>
          <w:sz w:val="18"/>
          <w:szCs w:val="18"/>
          <w:lang w:val="en-US"/>
        </w:rPr>
        <w:t>Toegangsbeheer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implements Azure Active Directory (AAD) as Identity &amp; Access Management solution for its SaaS offerings for authentication and access control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has developed and implemented robust RBAC module for authorizations within SaaS offerings</w:t>
      </w:r>
    </w:p>
    <w:p w:rsidR="0059563B" w:rsidRPr="0059563B" w:rsidRDefault="0059563B" w:rsidP="0059563B">
      <w:pPr>
        <w:numPr>
          <w:ilvl w:val="0"/>
          <w:numId w:val="2"/>
        </w:numPr>
        <w:spacing w:after="0" w:line="240" w:lineRule="auto"/>
        <w:rPr>
          <w:rFonts w:ascii="Verdana" w:hAnsi="Verdana" w:cstheme="minorHAnsi"/>
          <w:sz w:val="18"/>
          <w:szCs w:val="18"/>
          <w:lang w:val="en-US"/>
        </w:rPr>
      </w:pPr>
      <w:r w:rsidRPr="006F7A80">
        <w:rPr>
          <w:rFonts w:ascii="Verdana" w:hAnsi="Verdana" w:cstheme="minorHAnsi"/>
          <w:sz w:val="18"/>
          <w:szCs w:val="18"/>
          <w:lang w:val="en-US"/>
        </w:rPr>
        <w:t>TVMC SaaS offerings does not support Open ID authentication (e.g. Facebook, Google or any third party authentication providers)</w:t>
      </w:r>
    </w:p>
    <w:p w:rsidR="0059563B" w:rsidRPr="0059563B" w:rsidRDefault="0059563B" w:rsidP="0059563B">
      <w:pPr>
        <w:rPr>
          <w:lang w:val="en-US"/>
        </w:rPr>
      </w:pPr>
      <w:r w:rsidRPr="0059563B">
        <w:rPr>
          <w:rFonts w:ascii="Calibri" w:hAnsi="Calibri"/>
          <w:lang w:val="en-US"/>
        </w:rPr>
        <w:t> </w:t>
      </w:r>
    </w:p>
    <w:p w:rsidR="0059563B" w:rsidRPr="0059563B" w:rsidRDefault="0059563B" w:rsidP="0059563B">
      <w:pPr>
        <w:rPr>
          <w:rFonts w:ascii="Verdana" w:hAnsi="Verdana"/>
          <w:sz w:val="18"/>
          <w:szCs w:val="18"/>
          <w:lang w:val="en-US"/>
        </w:rPr>
      </w:pPr>
    </w:p>
    <w:p w:rsidR="0059563B" w:rsidRPr="0059563B" w:rsidRDefault="0059563B" w:rsidP="0059563B">
      <w:pPr>
        <w:rPr>
          <w:rFonts w:ascii="Verdana" w:hAnsi="Verdana"/>
          <w:sz w:val="18"/>
          <w:szCs w:val="18"/>
          <w:lang w:val="en-US"/>
        </w:rPr>
      </w:pPr>
      <w:r w:rsidRPr="0059563B">
        <w:rPr>
          <w:rFonts w:ascii="Verdana" w:hAnsi="Verdana"/>
          <w:sz w:val="18"/>
          <w:szCs w:val="18"/>
          <w:lang w:val="en-US"/>
        </w:rPr>
        <w:br w:type="page"/>
      </w:r>
    </w:p>
    <w:p w:rsidR="0059563B" w:rsidRPr="0059563B" w:rsidRDefault="0059563B" w:rsidP="0059563B">
      <w:pPr>
        <w:rPr>
          <w:rFonts w:ascii="Verdana" w:hAnsi="Verdana"/>
          <w:sz w:val="18"/>
          <w:szCs w:val="18"/>
          <w:lang w:val="en-US"/>
        </w:rPr>
        <w:sectPr w:rsidR="0059563B" w:rsidRPr="0059563B" w:rsidSect="0000444A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1"/>
        <w:gridCol w:w="3621"/>
        <w:gridCol w:w="3405"/>
        <w:gridCol w:w="3355"/>
      </w:tblGrid>
      <w:tr w:rsidR="0059563B" w:rsidTr="00B62A49">
        <w:trPr>
          <w:tblHeader/>
        </w:trPr>
        <w:tc>
          <w:tcPr>
            <w:tcW w:w="0" w:type="auto"/>
            <w:gridSpan w:val="4"/>
            <w:vAlign w:val="center"/>
            <w:hideMark/>
          </w:tcPr>
          <w:p w:rsidR="0059563B" w:rsidRDefault="0059563B" w:rsidP="00B62A49">
            <w:pPr>
              <w:spacing w:line="384" w:lineRule="auto"/>
            </w:pPr>
            <w:r>
              <w:rPr>
                <w:rFonts w:ascii="Segoe UI" w:hAnsi="Segoe UI" w:cs="Segoe UI"/>
                <w:b/>
                <w:bCs/>
                <w:caps/>
                <w:spacing w:val="30"/>
              </w:rPr>
              <w:lastRenderedPageBreak/>
              <w:t>Functies voor het beveiligen van het Azure-platform</w:t>
            </w:r>
          </w:p>
        </w:tc>
      </w:tr>
      <w:tr w:rsidR="0059563B" w:rsidTr="00B62A49">
        <w:trPr>
          <w:tblHeader/>
        </w:trPr>
        <w:tc>
          <w:tcPr>
            <w:tcW w:w="1293" w:type="pct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11" w:history="1">
              <w:r w:rsidR="0059563B">
                <w:rPr>
                  <w:rStyle w:val="Hyperlink"/>
                  <w:rFonts w:ascii="Segoe UI" w:hAnsi="Segoe UI" w:cs="Segoe UI"/>
                  <w:b/>
                  <w:bCs/>
                  <w:color w:val="0070C0"/>
                </w:rPr>
                <w:t xml:space="preserve">Beveiligd platform / </w:t>
              </w:r>
              <w:r w:rsidR="0059563B">
                <w:rPr>
                  <w:rStyle w:val="sxs-lookup1"/>
                  <w:rFonts w:ascii="Segoe UI" w:hAnsi="Segoe UI" w:cs="Segoe UI"/>
                  <w:b/>
                  <w:bCs/>
                  <w:color w:val="0070C0"/>
                  <w:specVanish w:val="0"/>
                </w:rPr>
                <w:t>Secure Platform</w:t>
              </w:r>
            </w:hyperlink>
          </w:p>
        </w:tc>
        <w:tc>
          <w:tcPr>
            <w:tcW w:w="1293" w:type="pct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12" w:history="1">
              <w:r w:rsidR="0059563B">
                <w:rPr>
                  <w:rStyle w:val="Hyperlink"/>
                  <w:rFonts w:ascii="Segoe UI" w:hAnsi="Segoe UI" w:cs="Segoe UI"/>
                  <w:b/>
                  <w:bCs/>
                  <w:color w:val="0070C0"/>
                </w:rPr>
                <w:t xml:space="preserve">Privacy-&amp; besturings elementen / </w:t>
              </w:r>
              <w:r w:rsidR="0059563B">
                <w:rPr>
                  <w:rStyle w:val="sxs-lookup1"/>
                  <w:rFonts w:ascii="Segoe UI" w:hAnsi="Segoe UI" w:cs="Segoe UI"/>
                  <w:b/>
                  <w:bCs/>
                  <w:color w:val="0070C0"/>
                  <w:specVanish w:val="0"/>
                </w:rPr>
                <w:t>Privacy &amp; Controls</w:t>
              </w:r>
            </w:hyperlink>
          </w:p>
        </w:tc>
        <w:tc>
          <w:tcPr>
            <w:tcW w:w="1216" w:type="pct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13" w:history="1">
              <w:r w:rsidR="0059563B">
                <w:rPr>
                  <w:rStyle w:val="Hyperlink"/>
                  <w:rFonts w:ascii="Segoe UI" w:hAnsi="Segoe UI" w:cs="Segoe UI"/>
                  <w:b/>
                  <w:bCs/>
                  <w:color w:val="0070C0"/>
                </w:rPr>
                <w:t xml:space="preserve">Naleving / </w:t>
              </w:r>
              <w:r w:rsidR="0059563B">
                <w:rPr>
                  <w:rStyle w:val="sxs-lookup1"/>
                  <w:rFonts w:ascii="Segoe UI" w:hAnsi="Segoe UI" w:cs="Segoe UI"/>
                  <w:b/>
                  <w:bCs/>
                  <w:color w:val="0070C0"/>
                  <w:specVanish w:val="0"/>
                </w:rPr>
                <w:t>Compliance</w:t>
              </w:r>
            </w:hyperlink>
          </w:p>
        </w:tc>
        <w:tc>
          <w:tcPr>
            <w:tcW w:w="1198" w:type="pct"/>
            <w:tcBorders>
              <w:top w:val="single" w:sz="2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14" w:history="1">
              <w:r w:rsidR="0059563B">
                <w:rPr>
                  <w:rStyle w:val="Hyperlink"/>
                  <w:rFonts w:ascii="Segoe UI" w:hAnsi="Segoe UI" w:cs="Segoe UI"/>
                  <w:b/>
                  <w:bCs/>
                  <w:color w:val="0070C0"/>
                </w:rPr>
                <w:t xml:space="preserve">Transparantie / </w:t>
              </w:r>
              <w:r w:rsidR="0059563B">
                <w:rPr>
                  <w:rStyle w:val="sxs-lookup1"/>
                  <w:rFonts w:ascii="Segoe UI" w:hAnsi="Segoe UI" w:cs="Segoe UI"/>
                  <w:b/>
                  <w:bCs/>
                  <w:color w:val="0070C0"/>
                  <w:specVanish w:val="0"/>
                </w:rPr>
                <w:t>Transparency</w:t>
              </w:r>
            </w:hyperlink>
          </w:p>
        </w:tc>
      </w:tr>
      <w:tr w:rsidR="0059563B" w:rsidRPr="0059563B" w:rsidTr="00B62A49">
        <w:trPr>
          <w:trHeight w:val="4201"/>
        </w:trPr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15" w:history="1">
              <w:r w:rsidR="0059563B">
                <w:rPr>
                  <w:rStyle w:val="Hyperlink"/>
                  <w:rFonts w:ascii="Segoe UI" w:hAnsi="Segoe UI" w:cs="Segoe UI"/>
                  <w:color w:val="0070C0"/>
                </w:rPr>
                <w:t>Beveiligings ontwikkelings cyclus</w:t>
              </w:r>
            </w:hyperlink>
            <w:r w:rsidR="0059563B">
              <w:rPr>
                <w:rFonts w:ascii="Segoe UI" w:hAnsi="Segoe UI" w:cs="Segoe UI"/>
                <w:color w:val="0070C0"/>
              </w:rPr>
              <w:t>, interne controles</w:t>
            </w:r>
            <w:hyperlink r:id="rId16" w:history="1">
              <w:r w:rsidR="0059563B">
                <w:rPr>
                  <w:rStyle w:val="Hyperlink"/>
                  <w:rFonts w:ascii="Segoe UI" w:hAnsi="Segoe UI" w:cs="Segoe UI"/>
                  <w:vanish/>
                  <w:color w:val="0070C0"/>
                </w:rPr>
                <w:t>Security Development Cycle</w:t>
              </w:r>
            </w:hyperlink>
            <w:r w:rsidR="0059563B">
              <w:rPr>
                <w:rStyle w:val="sxs-lookup1"/>
                <w:rFonts w:ascii="Segoe UI" w:hAnsi="Segoe UI" w:cs="Segoe UI"/>
                <w:color w:val="0070C0"/>
                <w:specVanish w:val="0"/>
              </w:rPr>
              <w:t>, Internal audits</w:t>
            </w:r>
          </w:p>
          <w:p w:rsidR="0059563B" w:rsidRDefault="0059563B" w:rsidP="00B62A49">
            <w:r>
              <w:rPr>
                <w:rFonts w:ascii="Calibri" w:hAnsi="Calibri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At TVMC, as we offer trusted AZURE based SaaS called ‘AddVueConnect’, we follow Microsoft SDL recommendations as applicable.  </w:t>
            </w:r>
          </w:p>
          <w:p w:rsidR="0059563B" w:rsidRPr="0059563B" w:rsidRDefault="00AC44E0" w:rsidP="00B62A49">
            <w:pPr>
              <w:rPr>
                <w:lang w:val="en-US"/>
              </w:rPr>
            </w:pPr>
            <w:hyperlink r:id="rId17" w:history="1">
              <w:r w:rsidR="0059563B">
                <w:rPr>
                  <w:rStyle w:val="Hyperlink"/>
                  <w:rFonts w:ascii="Calibri" w:hAnsi="Calibri"/>
                  <w:lang w:val="en-US"/>
                </w:rPr>
                <w:t>https://www.microsoft.com/en-us/securityengineering/sdl/practices</w:t>
              </w:r>
            </w:hyperlink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lang w:val="en-US"/>
              </w:rPr>
            </w:pPr>
            <w:hyperlink r:id="rId18" w:history="1">
              <w:r w:rsidR="0059563B">
                <w:rPr>
                  <w:rStyle w:val="Hyperlink"/>
                  <w:rFonts w:ascii="Segoe UI" w:hAnsi="Segoe UI" w:cs="Segoe UI"/>
                  <w:color w:val="0070C0"/>
                  <w:lang w:val="en-US"/>
                </w:rPr>
                <w:t xml:space="preserve">Altijd uw gegevens beheren / </w:t>
              </w:r>
              <w:r w:rsidR="0059563B">
                <w:rPr>
                  <w:rStyle w:val="sxs-lookup1"/>
                  <w:rFonts w:ascii="Segoe UI" w:hAnsi="Segoe UI" w:cs="Segoe UI"/>
                  <w:color w:val="0070C0"/>
                  <w:lang w:val="en-US"/>
                  <w:specVanish w:val="0"/>
                </w:rPr>
                <w:t>Manage your data all the tim</w:t>
              </w:r>
              <w:r w:rsidR="0059563B">
                <w:rPr>
                  <w:rStyle w:val="sxs-lookup1"/>
                  <w:rFonts w:ascii="Segoe UI" w:hAnsi="Segoe UI" w:cs="Segoe UI"/>
                  <w:color w:val="0000FF"/>
                  <w:lang w:val="en-US"/>
                  <w:specVanish w:val="0"/>
                </w:rPr>
                <w:t>e</w:t>
              </w:r>
            </w:hyperlink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At TVMC, we always fully own and monitor customer data.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lang w:val="en-US"/>
              </w:rPr>
            </w:pPr>
            <w:hyperlink r:id="rId19" w:history="1">
              <w:r w:rsidR="0059563B" w:rsidRPr="0059563B">
                <w:rPr>
                  <w:rStyle w:val="Hyperlink"/>
                  <w:rFonts w:ascii="Segoe UI" w:hAnsi="Segoe UI" w:cs="Segoe UI"/>
                  <w:lang w:val="en-US"/>
                </w:rPr>
                <w:t xml:space="preserve">Vertrouwenscentrum / </w:t>
              </w:r>
              <w:r w:rsidR="0059563B" w:rsidRPr="0059563B">
                <w:rPr>
                  <w:rStyle w:val="sxs-lookup1"/>
                  <w:rFonts w:ascii="Segoe UI" w:hAnsi="Segoe UI" w:cs="Segoe UI"/>
                  <w:color w:val="0000FF"/>
                  <w:lang w:val="en-US"/>
                  <w:specVanish w:val="0"/>
                </w:rPr>
                <w:t>Trust Center</w:t>
              </w:r>
            </w:hyperlink>
          </w:p>
          <w:p w:rsidR="0059563B" w:rsidRPr="0059563B" w:rsidRDefault="0059563B" w:rsidP="00B62A49">
            <w:pPr>
              <w:rPr>
                <w:lang w:val="en-US"/>
              </w:rPr>
            </w:pPr>
            <w:r w:rsidRPr="0059563B">
              <w:rPr>
                <w:rFonts w:ascii="Calibri" w:hAnsi="Calibri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TVMC and Microsoft, as a part of shared responsibility model implement security standards in compliance with privacy &amp; legal requirements.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20" w:history="1">
              <w:r w:rsidR="0059563B">
                <w:rPr>
                  <w:rStyle w:val="Hyperlink"/>
                  <w:rFonts w:ascii="Segoe UI" w:hAnsi="Segoe UI" w:cs="Segoe UI"/>
                </w:rPr>
                <w:t>H</w:t>
              </w:r>
              <w:r w:rsidR="0059563B">
                <w:rPr>
                  <w:rStyle w:val="Hyperlink"/>
                  <w:rFonts w:ascii="Segoe UI" w:hAnsi="Segoe UI" w:cs="Segoe UI"/>
                  <w:color w:val="0070C0"/>
                </w:rPr>
                <w:t xml:space="preserve">oe microsoft klant gegevens beveiligt in Azure-Services / </w:t>
              </w:r>
              <w:r w:rsidR="0059563B">
                <w:rPr>
                  <w:rStyle w:val="sxs-lookup1"/>
                  <w:rFonts w:ascii="Segoe UI" w:hAnsi="Segoe UI" w:cs="Segoe UI"/>
                  <w:color w:val="0070C0"/>
                  <w:specVanish w:val="0"/>
                </w:rPr>
                <w:t>How Microsoft secures customer data in Azure services</w:t>
              </w:r>
            </w:hyperlink>
          </w:p>
          <w:p w:rsidR="0059563B" w:rsidRDefault="0059563B" w:rsidP="00B62A49">
            <w:r>
              <w:rPr>
                <w:rFonts w:ascii="Calibri" w:hAnsi="Calibri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TVMC ensures customer data administration is restricted to only designated TVMC staff protected with multifactor authentication and governed by Non-disclosure agreement. 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No Microsoft AZURE Operations or Support personnel has access to any sort of customer data.</w:t>
            </w:r>
          </w:p>
        </w:tc>
      </w:tr>
      <w:tr w:rsidR="0059563B" w:rsidRPr="0059563B" w:rsidTr="00B62A49"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21" w:history="1">
              <w:r w:rsidR="0059563B" w:rsidRPr="0059563B">
                <w:rPr>
                  <w:rStyle w:val="Hyperlink"/>
                  <w:rFonts w:ascii="Segoe UI" w:hAnsi="Segoe UI" w:cs="Segoe UI"/>
                  <w:color w:val="0070C0"/>
                </w:rPr>
                <w:t xml:space="preserve">Verplichte beveiligings training, achtergrond controles / </w:t>
              </w:r>
              <w:r w:rsidR="0059563B" w:rsidRPr="0059563B">
                <w:rPr>
                  <w:rStyle w:val="sxs-lookup1"/>
                  <w:rFonts w:ascii="Segoe UI" w:hAnsi="Segoe UI" w:cs="Segoe UI"/>
                  <w:color w:val="0070C0"/>
                  <w:specVanish w:val="0"/>
                </w:rPr>
                <w:t>Mandatory Security training, background checks</w:t>
              </w:r>
            </w:hyperlink>
          </w:p>
          <w:p w:rsidR="0059563B" w:rsidRDefault="0059563B" w:rsidP="00B62A49">
            <w:r w:rsidRPr="0059563B">
              <w:rPr>
                <w:rFonts w:ascii="Calibri" w:hAnsi="Calibri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At TVMC, we in association with Microsoft offer ISO 27001 recommendations and best practices as applicable.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lang w:val="en-US"/>
              </w:rPr>
            </w:pPr>
            <w:hyperlink r:id="rId22" w:history="1">
              <w:r w:rsidR="0059563B" w:rsidRPr="0059563B">
                <w:rPr>
                  <w:rStyle w:val="Hyperlink"/>
                  <w:rFonts w:ascii="Segoe UI" w:hAnsi="Segoe UI" w:cs="Segoe UI"/>
                  <w:lang w:val="en-US"/>
                </w:rPr>
                <w:t>C</w:t>
              </w:r>
              <w:r w:rsidR="0059563B" w:rsidRPr="0059563B">
                <w:rPr>
                  <w:rStyle w:val="Hyperlink"/>
                  <w:rFonts w:ascii="Segoe UI" w:hAnsi="Segoe UI" w:cs="Segoe UI"/>
                  <w:color w:val="0070C0"/>
                  <w:lang w:val="en-US"/>
                </w:rPr>
                <w:t xml:space="preserve">ontrole op gegevenslocatie / </w:t>
              </w:r>
              <w:r w:rsidR="0059563B" w:rsidRPr="0059563B">
                <w:rPr>
                  <w:rStyle w:val="sxs-lookup1"/>
                  <w:rFonts w:ascii="Segoe UI" w:hAnsi="Segoe UI" w:cs="Segoe UI"/>
                  <w:color w:val="0070C0"/>
                  <w:lang w:val="en-US"/>
                  <w:specVanish w:val="0"/>
                </w:rPr>
                <w:t>Control on data location</w:t>
              </w:r>
            </w:hyperlink>
          </w:p>
          <w:p w:rsidR="0059563B" w:rsidRPr="0059563B" w:rsidRDefault="0059563B" w:rsidP="00B62A49">
            <w:pPr>
              <w:rPr>
                <w:lang w:val="en-US"/>
              </w:rPr>
            </w:pPr>
            <w:r w:rsidRPr="0059563B">
              <w:rPr>
                <w:rFonts w:ascii="Calibri" w:hAnsi="Calibri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TVMC in association with Microsoft has set up entire infrastructure and data center for UWV in West Europe region (Amsterdam) over secured network and authenticated tenant configurations.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lang w:val="en-US"/>
              </w:rPr>
            </w:pPr>
            <w:hyperlink r:id="rId23" w:history="1">
              <w:r w:rsidR="0059563B" w:rsidRPr="0059563B">
                <w:rPr>
                  <w:rStyle w:val="Hyperlink"/>
                  <w:rFonts w:ascii="Segoe UI" w:hAnsi="Segoe UI" w:cs="Segoe UI"/>
                  <w:color w:val="0070C0"/>
                  <w:lang w:val="en-US"/>
                </w:rPr>
                <w:t xml:space="preserve">Hub met algemene besturingselementen / </w:t>
              </w:r>
              <w:r w:rsidR="0059563B" w:rsidRPr="0059563B">
                <w:rPr>
                  <w:rStyle w:val="sxs-lookup1"/>
                  <w:rFonts w:ascii="Segoe UI" w:hAnsi="Segoe UI" w:cs="Segoe UI"/>
                  <w:color w:val="0070C0"/>
                  <w:lang w:val="en-US"/>
                  <w:specVanish w:val="0"/>
                </w:rPr>
                <w:t>Common Controls Hub</w:t>
              </w:r>
            </w:hyperlink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TVMC and Microsoft, as a part of shared responsibility model implement compliance requirements.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Default="00AC44E0" w:rsidP="00B62A49">
            <w:hyperlink r:id="rId24" w:history="1">
              <w:r w:rsidR="0059563B">
                <w:rPr>
                  <w:rStyle w:val="Hyperlink"/>
                  <w:rFonts w:ascii="Segoe UI" w:hAnsi="Segoe UI" w:cs="Segoe UI"/>
                  <w:color w:val="0070C0"/>
                </w:rPr>
                <w:t xml:space="preserve">Hoe microsoft de gegevens locatie in Azure-Services beheert / </w:t>
              </w:r>
              <w:r w:rsidR="0059563B">
                <w:rPr>
                  <w:rStyle w:val="sxs-lookup1"/>
                  <w:rFonts w:ascii="Segoe UI" w:hAnsi="Segoe UI" w:cs="Segoe UI"/>
                  <w:color w:val="0070C0"/>
                  <w:specVanish w:val="0"/>
                </w:rPr>
                <w:t>How Microsoft manage data location in Azure services</w:t>
              </w:r>
            </w:hyperlink>
          </w:p>
          <w:p w:rsidR="0059563B" w:rsidRDefault="0059563B" w:rsidP="00B62A49">
            <w:r>
              <w:rPr>
                <w:rFonts w:ascii="Calibri" w:hAnsi="Calibri"/>
              </w:rPr>
              <w:t> </w:t>
            </w:r>
          </w:p>
          <w:p w:rsidR="0059563B" w:rsidRPr="0059563B" w:rsidRDefault="0059563B" w:rsidP="00B62A49">
            <w:pPr>
              <w:rPr>
                <w:lang w:val="en-US"/>
              </w:rPr>
            </w:pPr>
            <w:r>
              <w:rPr>
                <w:rFonts w:ascii="Calibri" w:hAnsi="Calibri"/>
                <w:lang w:val="en-US"/>
              </w:rPr>
              <w:t>TVMC in association with Microsoft has set up entire infrastructure and data center for UWV in West Europe region (Amsterdam) over secured network and dedicated tenant configurations.</w:t>
            </w:r>
          </w:p>
        </w:tc>
      </w:tr>
      <w:tr w:rsidR="0059563B" w:rsidTr="00B62A49"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25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Indringings tests</w:t>
              </w:r>
            </w:hyperlink>
            <w:r w:rsidR="0059563B" w:rsidRPr="006F7A80">
              <w:rPr>
                <w:rFonts w:ascii="Verdana" w:hAnsi="Verdana" w:cs="Segoe UI"/>
                <w:sz w:val="16"/>
                <w:szCs w:val="16"/>
              </w:rPr>
              <w:t xml:space="preserve">, </w:t>
            </w:r>
            <w:hyperlink r:id="rId26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inbraak detectie, DDoS</w:t>
              </w:r>
            </w:hyperlink>
            <w:r w:rsidR="0059563B" w:rsidRPr="006F7A80">
              <w:rPr>
                <w:rFonts w:ascii="Verdana" w:hAnsi="Verdana" w:cs="Segoe UI"/>
                <w:sz w:val="16"/>
                <w:szCs w:val="16"/>
              </w:rPr>
              <w:t xml:space="preserve">, </w:t>
            </w:r>
            <w:hyperlink r:id="rId27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controles &amp; logboek registratie</w:t>
              </w:r>
            </w:hyperlink>
            <w:r w:rsidR="0059563B" w:rsidRPr="006F7A80">
              <w:rPr>
                <w:rFonts w:ascii="Verdana" w:hAnsi="Verdana" w:cs="Segoe UI"/>
                <w:sz w:val="16"/>
                <w:szCs w:val="16"/>
              </w:rPr>
              <w:t xml:space="preserve"> / </w:t>
            </w:r>
            <w:hyperlink r:id="rId28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sz w:val="16"/>
                  <w:szCs w:val="16"/>
                </w:rPr>
                <w:t>Penetration testing</w:t>
              </w:r>
            </w:hyperlink>
            <w:r w:rsidR="0059563B" w:rsidRPr="006F7A80">
              <w:rPr>
                <w:rStyle w:val="sxs-lookup1"/>
                <w:rFonts w:ascii="Verdana" w:hAnsi="Verdana" w:cs="Segoe UI"/>
                <w:sz w:val="16"/>
                <w:szCs w:val="16"/>
                <w:specVanish w:val="0"/>
              </w:rPr>
              <w:t xml:space="preserve">, </w:t>
            </w:r>
            <w:hyperlink r:id="rId29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sz w:val="16"/>
                  <w:szCs w:val="16"/>
                </w:rPr>
                <w:t>intrusion detection, DDoS</w:t>
              </w:r>
            </w:hyperlink>
            <w:r w:rsidR="0059563B" w:rsidRPr="006F7A80">
              <w:rPr>
                <w:rStyle w:val="sxs-lookup1"/>
                <w:rFonts w:ascii="Verdana" w:hAnsi="Verdana" w:cs="Segoe UI"/>
                <w:sz w:val="16"/>
                <w:szCs w:val="16"/>
                <w:specVanish w:val="0"/>
              </w:rPr>
              <w:t xml:space="preserve">, </w:t>
            </w:r>
            <w:hyperlink r:id="rId30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sz w:val="16"/>
                  <w:szCs w:val="16"/>
                </w:rPr>
                <w:t>Audits &amp; logging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At TVMC, all AZURE resources for customers are well protected and monitored using Azure Security Center and Azure Defender solution services as recommended by Microsoft Azure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31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</w:rPr>
                <w:t xml:space="preserve">Gegevens toegang bieden voor uw voor waarden / </w:t>
              </w:r>
              <w:r w:rsidR="0059563B" w:rsidRPr="006F7A80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specVanish w:val="0"/>
                </w:rPr>
                <w:t>Provide data access on your terms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TVMC ensures customer data administration is restricted to only designated TVMC staff protected with multifactor authentication and governed by Non-disclosure agreement.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hyperlink r:id="rId32" w:history="1">
              <w:r w:rsidR="0059563B" w:rsidRPr="0059563B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  <w:lang w:val="en-US"/>
                </w:rPr>
                <w:t xml:space="preserve">De controle lijst voor de Cloud Services de verval datum / </w:t>
              </w:r>
              <w:r w:rsidR="0059563B" w:rsidRPr="0059563B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lang w:val="en-US"/>
                  <w:specVanish w:val="0"/>
                </w:rPr>
                <w:t>The Cloud Services Due Diligence Checklist</w:t>
              </w:r>
            </w:hyperlink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sz w:val="16"/>
                <w:szCs w:val="16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sz w:val="16"/>
                <w:szCs w:val="16"/>
                <w:lang w:val="en-US"/>
              </w:rPr>
              <w:t>At TVMC, we follow best practices and recommandations from Microsoft in order to optimise Azure cloud ressources and services.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33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</w:rPr>
                <w:t xml:space="preserve">Wie in microsoft heeft toegang tot uw gegevens met betrekking tot de voor waarden / </w:t>
              </w:r>
              <w:r w:rsidR="0059563B" w:rsidRPr="006F7A80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specVanish w:val="0"/>
                </w:rPr>
                <w:t>Who in Microsoft can access your data on what terms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No Microsoft AZURE Operations or Support personnel has access to any sort of customer data. No backdoor entry is allowed for Microsoft.</w:t>
            </w:r>
          </w:p>
        </w:tc>
      </w:tr>
      <w:tr w:rsidR="0059563B" w:rsidRPr="0059563B" w:rsidTr="00B62A49"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34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</w:rPr>
                <w:t>Status van het Art Data Center, de</w:t>
              </w:r>
            </w:hyperlink>
            <w:r w:rsidR="0059563B" w:rsidRPr="006F7A80">
              <w:rPr>
                <w:rFonts w:ascii="Verdana" w:hAnsi="Verdana" w:cs="Segoe UI"/>
                <w:color w:val="0070C0"/>
                <w:sz w:val="16"/>
                <w:szCs w:val="16"/>
              </w:rPr>
              <w:t xml:space="preserve">fysieke beveiliging, het </w:t>
            </w:r>
            <w:hyperlink r:id="rId35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</w:rPr>
                <w:t>beveiligde netwerk</w:t>
              </w:r>
            </w:hyperlink>
            <w:r w:rsidR="0059563B" w:rsidRPr="006F7A80">
              <w:rPr>
                <w:rFonts w:ascii="Verdana" w:hAnsi="Verdana" w:cs="Segoe UI"/>
                <w:color w:val="0070C0"/>
                <w:sz w:val="16"/>
                <w:szCs w:val="16"/>
              </w:rPr>
              <w:t xml:space="preserve"> / </w:t>
            </w:r>
            <w:hyperlink r:id="rId36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color w:val="0070C0"/>
                  <w:sz w:val="16"/>
                  <w:szCs w:val="16"/>
                </w:rPr>
                <w:t>State of the art data center</w:t>
              </w:r>
            </w:hyperlink>
            <w:r w:rsidR="0059563B" w:rsidRPr="006F7A80">
              <w:rPr>
                <w:rStyle w:val="sxs-lookup1"/>
                <w:rFonts w:ascii="Verdana" w:hAnsi="Verdana" w:cs="Segoe UI"/>
                <w:color w:val="0070C0"/>
                <w:sz w:val="16"/>
                <w:szCs w:val="16"/>
                <w:specVanish w:val="0"/>
              </w:rPr>
              <w:t xml:space="preserve">, physical security, </w:t>
            </w:r>
            <w:hyperlink r:id="rId37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color w:val="0070C0"/>
                  <w:sz w:val="16"/>
                  <w:szCs w:val="16"/>
                </w:rPr>
                <w:t>Secure Network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TVMC in association with Microsoft has set up entire infrastructure and data center for UWV in West Europe region (Amsterdam) over secured network and dedicated tenant configurations.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hyperlink r:id="rId38" w:history="1">
              <w:r w:rsidR="0059563B" w:rsidRPr="0059563B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  <w:lang w:val="en-US"/>
                </w:rPr>
                <w:t xml:space="preserve">Reageren op wets afdwinging / </w:t>
              </w:r>
              <w:r w:rsidR="0059563B" w:rsidRPr="0059563B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lang w:val="en-US"/>
                  <w:specVanish w:val="0"/>
                </w:rPr>
                <w:t>Responding to law enforcement</w:t>
              </w:r>
            </w:hyperlink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color w:val="0070C0"/>
                <w:sz w:val="16"/>
                <w:szCs w:val="16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TVMC ensures law enforcement in accordance with section C of the Security agreement (BVO), section C.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color w:val="0070C0"/>
                <w:sz w:val="16"/>
                <w:szCs w:val="16"/>
                <w:lang w:val="en-US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hyperlink r:id="rId39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  <w:lang w:val="en-US"/>
                </w:rPr>
                <w:t xml:space="preserve">Naleving per service, locatie &amp; industrie / </w:t>
              </w:r>
              <w:r w:rsidR="0059563B" w:rsidRPr="006F7A80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lang w:val="en-US"/>
                  <w:specVanish w:val="0"/>
                </w:rPr>
                <w:t>Compliance by service, location &amp; Industry</w:t>
              </w:r>
            </w:hyperlink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color w:val="0070C0"/>
                <w:sz w:val="16"/>
                <w:szCs w:val="16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sz w:val="16"/>
                <w:szCs w:val="16"/>
                <w:lang w:val="en-US"/>
              </w:rPr>
              <w:t>At TVMC, we follow best practices and recommandations from Microsoft in order to optimise Azure cloud ressources and services for certain locations or industry domains as per cutomer requirements.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40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H</w:t>
              </w:r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</w:rPr>
                <w:t xml:space="preserve">oe micro soft klant gegevens beveiligt in Azure-Services / </w:t>
              </w:r>
              <w:r w:rsidR="0059563B" w:rsidRPr="006F7A80">
                <w:rPr>
                  <w:rStyle w:val="sxs-lookup1"/>
                  <w:rFonts w:ascii="Verdana" w:hAnsi="Verdana" w:cs="Segoe UI"/>
                  <w:color w:val="0070C0"/>
                  <w:sz w:val="16"/>
                  <w:szCs w:val="16"/>
                  <w:specVanish w:val="0"/>
                </w:rPr>
                <w:t>How Microsoft secures customer data in Azure services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 xml:space="preserve">TVMC ensures customer data administration is restricted to only designated TVMC staff protected with multifactor authentication and governed by Non-disclosure agreement. 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No Microsoft AZURE Operations or Support personnel has access to any sort of customer data.</w:t>
            </w:r>
          </w:p>
        </w:tc>
      </w:tr>
      <w:tr w:rsidR="0059563B" w:rsidRPr="0059563B" w:rsidTr="00B62A49">
        <w:tc>
          <w:tcPr>
            <w:tcW w:w="129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9563B" w:rsidRPr="006F7A80" w:rsidRDefault="00AC44E0" w:rsidP="00B62A49">
            <w:pPr>
              <w:rPr>
                <w:rFonts w:ascii="Verdana" w:hAnsi="Verdana"/>
                <w:sz w:val="16"/>
                <w:szCs w:val="16"/>
              </w:rPr>
            </w:pPr>
            <w:hyperlink r:id="rId41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Reactie op beveiligings incidenten</w:t>
              </w:r>
            </w:hyperlink>
            <w:r w:rsidR="0059563B" w:rsidRPr="006F7A80">
              <w:rPr>
                <w:rFonts w:ascii="Verdana" w:hAnsi="Verdana" w:cs="Segoe UI"/>
                <w:sz w:val="16"/>
                <w:szCs w:val="16"/>
              </w:rPr>
              <w:t xml:space="preserve">, </w:t>
            </w:r>
            <w:hyperlink r:id="rId42" w:history="1">
              <w:r w:rsidR="0059563B" w:rsidRPr="006F7A80">
                <w:rPr>
                  <w:rStyle w:val="Hyperlink"/>
                  <w:rFonts w:ascii="Verdana" w:hAnsi="Verdana" w:cs="Segoe UI"/>
                  <w:sz w:val="16"/>
                  <w:szCs w:val="16"/>
                </w:rPr>
                <w:t>gedeelde verantwoordelijkheid</w:t>
              </w:r>
            </w:hyperlink>
            <w:r w:rsidR="0059563B" w:rsidRPr="006F7A80">
              <w:rPr>
                <w:rFonts w:ascii="Verdana" w:hAnsi="Verdana" w:cs="Segoe UI"/>
                <w:sz w:val="16"/>
                <w:szCs w:val="16"/>
              </w:rPr>
              <w:t xml:space="preserve"> / </w:t>
            </w:r>
            <w:hyperlink r:id="rId43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sz w:val="16"/>
                  <w:szCs w:val="16"/>
                </w:rPr>
                <w:t>Security Incident response</w:t>
              </w:r>
            </w:hyperlink>
            <w:r w:rsidR="0059563B" w:rsidRPr="006F7A80">
              <w:rPr>
                <w:rStyle w:val="sxs-lookup1"/>
                <w:rFonts w:ascii="Verdana" w:hAnsi="Verdana" w:cs="Segoe UI"/>
                <w:sz w:val="16"/>
                <w:szCs w:val="16"/>
                <w:specVanish w:val="0"/>
              </w:rPr>
              <w:t xml:space="preserve">, </w:t>
            </w:r>
            <w:hyperlink r:id="rId44" w:history="1">
              <w:r w:rsidR="0059563B" w:rsidRPr="006F7A80">
                <w:rPr>
                  <w:rStyle w:val="Hyperlink"/>
                  <w:rFonts w:ascii="Verdana" w:hAnsi="Verdana" w:cs="Segoe UI"/>
                  <w:vanish/>
                  <w:sz w:val="16"/>
                  <w:szCs w:val="16"/>
                </w:rPr>
                <w:t>Shared Responsibility</w:t>
              </w:r>
            </w:hyperlink>
          </w:p>
          <w:p w:rsidR="0059563B" w:rsidRPr="006F7A80" w:rsidRDefault="0059563B" w:rsidP="00B62A49">
            <w:pPr>
              <w:rPr>
                <w:rFonts w:ascii="Verdana" w:hAnsi="Verdana"/>
                <w:sz w:val="16"/>
                <w:szCs w:val="16"/>
              </w:rPr>
            </w:pPr>
            <w:r w:rsidRPr="006F7A80">
              <w:rPr>
                <w:rFonts w:ascii="Verdana" w:hAnsi="Verdana"/>
                <w:sz w:val="16"/>
                <w:szCs w:val="16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At TVMC, we fully understand and follow the shared responsibility model with Microsoft Azure teams with standard best practices and recommendations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 w:cs="Segoe UI"/>
                <w:color w:val="0070C0"/>
                <w:sz w:val="16"/>
                <w:szCs w:val="16"/>
                <w:lang w:val="en-US"/>
              </w:rPr>
              <w:t xml:space="preserve">Strenge privacy-standaarden / </w:t>
            </w:r>
            <w:r w:rsidRPr="0059563B">
              <w:rPr>
                <w:rStyle w:val="sxs-lookup1"/>
                <w:rFonts w:ascii="Verdana" w:hAnsi="Verdana" w:cs="Segoe UI"/>
                <w:color w:val="0070C0"/>
                <w:sz w:val="16"/>
                <w:szCs w:val="16"/>
                <w:lang w:val="en-US"/>
                <w:specVanish w:val="0"/>
              </w:rPr>
              <w:t>Stringent privacy standards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59563B">
              <w:rPr>
                <w:rFonts w:ascii="Verdana" w:hAnsi="Verdana"/>
                <w:sz w:val="16"/>
                <w:szCs w:val="16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Stringent privacy standards are maintained as prescribed by Microsoft.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</w:p>
        </w:tc>
        <w:tc>
          <w:tcPr>
            <w:tcW w:w="1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9563B" w:rsidRPr="0059563B" w:rsidRDefault="00AC44E0" w:rsidP="00B62A49">
            <w:pPr>
              <w:rPr>
                <w:rFonts w:ascii="Verdana" w:hAnsi="Verdana" w:cs="Calibri"/>
                <w:sz w:val="16"/>
                <w:szCs w:val="16"/>
                <w:lang w:val="en-US"/>
              </w:rPr>
            </w:pPr>
            <w:hyperlink r:id="rId45" w:history="1">
              <w:r w:rsidR="0059563B" w:rsidRPr="006F7A80">
                <w:rPr>
                  <w:rStyle w:val="Hyperlink"/>
                  <w:rFonts w:ascii="Verdana" w:hAnsi="Verdana" w:cs="Segoe UI"/>
                  <w:color w:val="0070C0"/>
                  <w:sz w:val="16"/>
                  <w:szCs w:val="16"/>
                  <w:lang w:val="en-US"/>
                </w:rPr>
                <w:t>Certificering controleren voor Azure-Services / Transparency-hub</w:t>
              </w:r>
            </w:hyperlink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 </w:t>
            </w:r>
          </w:p>
          <w:p w:rsidR="0059563B" w:rsidRPr="0059563B" w:rsidRDefault="0059563B" w:rsidP="00B62A49">
            <w:pPr>
              <w:rPr>
                <w:rFonts w:ascii="Verdana" w:hAnsi="Verdana"/>
                <w:sz w:val="16"/>
                <w:szCs w:val="16"/>
                <w:lang w:val="en-US"/>
              </w:rPr>
            </w:pPr>
            <w:r w:rsidRPr="006F7A80">
              <w:rPr>
                <w:rFonts w:ascii="Verdana" w:hAnsi="Verdana"/>
                <w:sz w:val="16"/>
                <w:szCs w:val="16"/>
                <w:lang w:val="en-US"/>
              </w:rPr>
              <w:t>TVMC in association with Microsoft ensure full transparency and trust of services offered to our customers.</w:t>
            </w:r>
          </w:p>
        </w:tc>
      </w:tr>
    </w:tbl>
    <w:p w:rsidR="00B86A97" w:rsidRPr="0059563B" w:rsidRDefault="00B86A97">
      <w:pPr>
        <w:rPr>
          <w:lang w:val="en-US"/>
        </w:rPr>
      </w:pPr>
    </w:p>
    <w:sectPr w:rsidR="00B86A97" w:rsidRPr="0059563B" w:rsidSect="006F7A80"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C44E0">
      <w:pPr>
        <w:spacing w:after="0" w:line="240" w:lineRule="auto"/>
      </w:pPr>
      <w:r>
        <w:separator/>
      </w:r>
    </w:p>
  </w:endnote>
  <w:endnote w:type="continuationSeparator" w:id="0">
    <w:p w:rsidR="00000000" w:rsidRDefault="00AC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6749229"/>
      <w:docPartObj>
        <w:docPartGallery w:val="Page Numbers (Bottom of Page)"/>
        <w:docPartUnique/>
      </w:docPartObj>
    </w:sdtPr>
    <w:sdtEndPr/>
    <w:sdtContent>
      <w:p w:rsidR="006D3AEE" w:rsidRDefault="00AC44E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D3AEE" w:rsidRDefault="00AC44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C44E0">
      <w:pPr>
        <w:spacing w:after="0" w:line="240" w:lineRule="auto"/>
      </w:pPr>
      <w:r>
        <w:separator/>
      </w:r>
    </w:p>
  </w:footnote>
  <w:footnote w:type="continuationSeparator" w:id="0">
    <w:p w:rsidR="00000000" w:rsidRDefault="00AC4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F56"/>
    <w:multiLevelType w:val="hybridMultilevel"/>
    <w:tmpl w:val="AB86B0A0"/>
    <w:lvl w:ilvl="0" w:tplc="A41E88C0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Calibri" w:hint="default"/>
        <w:color w:val="auto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BA39B7"/>
    <w:multiLevelType w:val="hybridMultilevel"/>
    <w:tmpl w:val="AE98AE66"/>
    <w:lvl w:ilvl="0" w:tplc="1ECA7B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3B"/>
    <w:rsid w:val="0059563B"/>
    <w:rsid w:val="00AC44E0"/>
    <w:rsid w:val="00B86A97"/>
    <w:rsid w:val="00C2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A9E2B-F1AE-4FAE-A81C-BD0867B54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563B"/>
  </w:style>
  <w:style w:type="paragraph" w:styleId="Kop1">
    <w:name w:val="heading 1"/>
    <w:aliases w:val="h1,Hoofdstuk"/>
    <w:basedOn w:val="Standaard"/>
    <w:next w:val="Standaard"/>
    <w:link w:val="Kop1Char"/>
    <w:qFormat/>
    <w:rsid w:val="005956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"/>
    <w:basedOn w:val="Standaardalinea-lettertype"/>
    <w:link w:val="Kop1"/>
    <w:rsid w:val="005956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9563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9563B"/>
  </w:style>
  <w:style w:type="paragraph" w:styleId="Voettekst">
    <w:name w:val="footer"/>
    <w:basedOn w:val="Standaard"/>
    <w:link w:val="VoettekstChar"/>
    <w:uiPriority w:val="99"/>
    <w:unhideWhenUsed/>
    <w:rsid w:val="00595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63B"/>
  </w:style>
  <w:style w:type="character" w:styleId="Hyperlink">
    <w:name w:val="Hyperlink"/>
    <w:basedOn w:val="Standaardalinea-lettertype"/>
    <w:uiPriority w:val="99"/>
    <w:unhideWhenUsed/>
    <w:rsid w:val="0059563B"/>
    <w:rPr>
      <w:color w:val="0563C1" w:themeColor="hyperlink"/>
      <w:u w:val="single"/>
    </w:rPr>
  </w:style>
  <w:style w:type="character" w:customStyle="1" w:styleId="sxs-lookup1">
    <w:name w:val="sxs-lookup1"/>
    <w:basedOn w:val="Standaardalinea-lettertype"/>
    <w:rsid w:val="0059563B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microsoft.com/trustcenter/Compliance/default.aspx" TargetMode="External"/><Relationship Id="rId18" Type="http://schemas.openxmlformats.org/officeDocument/2006/relationships/hyperlink" Target="https://www.microsoft.com/trustcenter/Privacy/You-own-your-data" TargetMode="External"/><Relationship Id="rId26" Type="http://schemas.openxmlformats.org/officeDocument/2006/relationships/hyperlink" Target="https://www.microsoft.com/trustcenter/Security/ThreatManagement" TargetMode="External"/><Relationship Id="rId39" Type="http://schemas.openxmlformats.org/officeDocument/2006/relationships/hyperlink" Target="https://www.microsoft.com/trustcenter/Compliance/default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wnloads.cloudsecurityalliance.org/star/self-assessment/StandardResponsetoRequestforInformationWindowsAzureSecurityPrivacy.docx" TargetMode="External"/><Relationship Id="rId34" Type="http://schemas.openxmlformats.org/officeDocument/2006/relationships/hyperlink" Target="https://www.microsoft.com/cloud-platform/global-datacenters" TargetMode="External"/><Relationship Id="rId42" Type="http://schemas.openxmlformats.org/officeDocument/2006/relationships/hyperlink" Target="https://aka.ms/sharedresponsibility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www.microsoft.com/trustcenter/Privacy/default.aspx" TargetMode="External"/><Relationship Id="rId17" Type="http://schemas.openxmlformats.org/officeDocument/2006/relationships/hyperlink" Target="https://www.microsoft.com/en-us/securityengineering/sdl/practices" TargetMode="External"/><Relationship Id="rId25" Type="http://schemas.openxmlformats.org/officeDocument/2006/relationships/hyperlink" Target="https://downloads.cloudsecurityalliance.org/star/self-assessment/StandardResponsetoRequestforInformationWindowsAzureSecurityPrivacy.docx" TargetMode="External"/><Relationship Id="rId33" Type="http://schemas.openxmlformats.org/officeDocument/2006/relationships/hyperlink" Target="https://www.microsoft.com/trustcenter/Privacy/Who-can-access-your-data-and-on-what-terms" TargetMode="External"/><Relationship Id="rId38" Type="http://schemas.openxmlformats.org/officeDocument/2006/relationships/hyperlink" Target="https://www.microsoft.com/trustcenter/Privacy/Responding-to-govt-agency-requests-for-customer-data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icrosoft.com/sdl/" TargetMode="External"/><Relationship Id="rId20" Type="http://schemas.openxmlformats.org/officeDocument/2006/relationships/hyperlink" Target="https://www.microsoft.com/trustcenter/Transparency/default.aspx" TargetMode="External"/><Relationship Id="rId29" Type="http://schemas.openxmlformats.org/officeDocument/2006/relationships/hyperlink" Target="https://www.microsoft.com/trustcenter/Security/ThreatManagement" TargetMode="External"/><Relationship Id="rId41" Type="http://schemas.openxmlformats.org/officeDocument/2006/relationships/hyperlink" Target="https://aka.ms/SecurityResponsepape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icrosoft.com/trustcenter/Security/default.aspx" TargetMode="External"/><Relationship Id="rId24" Type="http://schemas.openxmlformats.org/officeDocument/2006/relationships/hyperlink" Target="https://azuredatacentermap.azurewebsites.net/" TargetMode="External"/><Relationship Id="rId32" Type="http://schemas.openxmlformats.org/officeDocument/2006/relationships/hyperlink" Target="https://www.microsoft.com/trustcenter/Compliance/Due-Diligence-Checklist" TargetMode="External"/><Relationship Id="rId37" Type="http://schemas.openxmlformats.org/officeDocument/2006/relationships/hyperlink" Target="https://docs.microsoft.com/nl-nl/azure/security/fundamentals/network-overview" TargetMode="External"/><Relationship Id="rId40" Type="http://schemas.openxmlformats.org/officeDocument/2006/relationships/hyperlink" Target="https://www.microsoft.com/trustcenter/Transparency/default.aspx" TargetMode="External"/><Relationship Id="rId45" Type="http://schemas.openxmlformats.org/officeDocument/2006/relationships/hyperlink" Target="https://www.microsoft.com/trustcenter/Compliance/defaul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icrosoft.com/sdl/" TargetMode="External"/><Relationship Id="rId23" Type="http://schemas.openxmlformats.org/officeDocument/2006/relationships/hyperlink" Target="https://www.microsoft.com/trustcenter/Common-Controls-Hub" TargetMode="External"/><Relationship Id="rId28" Type="http://schemas.openxmlformats.org/officeDocument/2006/relationships/hyperlink" Target="https://downloads.cloudsecurityalliance.org/star/self-assessment/StandardResponsetoRequestforInformationWindowsAzureSecurityPrivacy.docx" TargetMode="External"/><Relationship Id="rId36" Type="http://schemas.openxmlformats.org/officeDocument/2006/relationships/hyperlink" Target="https://www.microsoft.com/cloud-platform/global-datacenters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microsoft.com/trustcenter/default.aspx" TargetMode="External"/><Relationship Id="rId31" Type="http://schemas.openxmlformats.org/officeDocument/2006/relationships/hyperlink" Target="https://www.microsoft.com/trustcenter/Privacy/Who-can-access-your-data-and-on-what-terms" TargetMode="External"/><Relationship Id="rId44" Type="http://schemas.openxmlformats.org/officeDocument/2006/relationships/hyperlink" Target="https://aka.ms/sharedresponsibilit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crosoft.com/nl-nl/trust-center/product-overview" TargetMode="External"/><Relationship Id="rId14" Type="http://schemas.openxmlformats.org/officeDocument/2006/relationships/hyperlink" Target="https://www.microsoft.com/trustcenter/Transparency/default.aspx" TargetMode="External"/><Relationship Id="rId22" Type="http://schemas.openxmlformats.org/officeDocument/2006/relationships/hyperlink" Target="https://www.microsoft.com/trustcenter/Privacy/Where-your-data-is-located" TargetMode="External"/><Relationship Id="rId27" Type="http://schemas.openxmlformats.org/officeDocument/2006/relationships/hyperlink" Target="https://www.microsoft.com/trustcenter/Security/AuditingAndLogging" TargetMode="External"/><Relationship Id="rId30" Type="http://schemas.openxmlformats.org/officeDocument/2006/relationships/hyperlink" Target="https://www.microsoft.com/trustcenter/Security/AuditingAndLogging" TargetMode="External"/><Relationship Id="rId35" Type="http://schemas.openxmlformats.org/officeDocument/2006/relationships/hyperlink" Target="https://docs.microsoft.com/nl-nl/azure/security/fundamentals/network-overview" TargetMode="External"/><Relationship Id="rId43" Type="http://schemas.openxmlformats.org/officeDocument/2006/relationships/hyperlink" Target="https://aka.ms/SecurityResponsepaper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1912</Words>
  <Characters>10518</Characters>
  <Application>Microsoft Office Word</Application>
  <DocSecurity>4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Roukens, Rob (R.P.)</dc:creator>
  <cp:keywords/>
  <dc:description/>
  <cp:lastModifiedBy>Heteren, Saskia van  (S.)</cp:lastModifiedBy>
  <cp:revision>2</cp:revision>
  <dcterms:created xsi:type="dcterms:W3CDTF">2023-03-16T12:34:00Z</dcterms:created>
  <dcterms:modified xsi:type="dcterms:W3CDTF">2023-03-16T12:34:00Z</dcterms:modified>
</cp:coreProperties>
</file>