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762784EE" w:rsidR="005D4CF7" w:rsidRDefault="005D4CF7" w:rsidP="00334095">
      <w:pPr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4BDE316D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bookmarkStart w:id="2" w:name="_Toc123649402"/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 xml:space="preserve"> </w:t>
      </w:r>
      <w:proofErr w:type="spellStart"/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>Tenderned</w:t>
      </w:r>
      <w:bookmarkEnd w:id="2"/>
      <w:proofErr w:type="spellEnd"/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78C90DD8" w14:textId="77777777" w:rsidR="00690202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</w:p>
    <w:p w14:paraId="2DED3487" w14:textId="77777777" w:rsidR="00690202" w:rsidRDefault="00690202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C1D672C" w14:textId="542516EC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24"/>
        </w:rPr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1591CCB8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BC2154">
        <w:rPr>
          <w:rFonts w:ascii="Lucida Sans Unicode" w:hAnsi="Lucida Sans Unicode"/>
          <w:sz w:val="18"/>
        </w:rPr>
        <w:t>PCBO Rotterdam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04BD441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A3F6F4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B57D5">
              <w:rPr>
                <w:rFonts w:ascii="Lucida Sans Unicode" w:hAnsi="Lucida Sans Unicode" w:cs="Lucida Sans Unicode"/>
                <w:sz w:val="18"/>
              </w:rPr>
              <w:t xml:space="preserve">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D96C7B0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B57D5">
              <w:rPr>
                <w:rFonts w:ascii="Lucida Sans Unicode" w:hAnsi="Lucida Sans Unicode" w:cs="Lucida Sans Unicode"/>
                <w:sz w:val="18"/>
              </w:rPr>
              <w:t>Premieverhogingskans (effect)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64899EE5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2C3A567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24314DF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57459D2" w14:textId="77777777" w:rsidR="00690202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</w:p>
    <w:p w14:paraId="769F7767" w14:textId="77777777" w:rsidR="00690202" w:rsidRDefault="00690202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6BA6BCA2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73EA6BB9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BC2154">
        <w:rPr>
          <w:rFonts w:ascii="Lucida Sans Unicode" w:hAnsi="Lucida Sans Unicode"/>
          <w:sz w:val="18"/>
        </w:rPr>
        <w:t>PCBO Rotterdam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713C277D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>ouden met de Opdrachtgever en</w:t>
      </w:r>
      <w:r w:rsidR="00BC2154" w:rsidRPr="00BC2154">
        <w:rPr>
          <w:rFonts w:ascii="Lucida Sans Unicode" w:hAnsi="Lucida Sans Unicode"/>
          <w:sz w:val="18"/>
        </w:rPr>
        <w:t xml:space="preserve"> </w:t>
      </w:r>
      <w:proofErr w:type="spellStart"/>
      <w:r w:rsidR="00BC2154">
        <w:rPr>
          <w:rFonts w:ascii="Lucida Sans Unicode" w:hAnsi="Lucida Sans Unicode"/>
          <w:sz w:val="18"/>
        </w:rPr>
        <w:t>Robidus</w:t>
      </w:r>
      <w:proofErr w:type="spellEnd"/>
      <w:r w:rsidR="00BC2154">
        <w:rPr>
          <w:rFonts w:ascii="Lucida Sans Unicode" w:hAnsi="Lucida Sans Unicode"/>
          <w:sz w:val="18"/>
        </w:rPr>
        <w:t xml:space="preserve"> Risk Consulting B.V.</w:t>
      </w:r>
      <w:r w:rsidR="00BC2154" w:rsidRPr="008F13F1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C23B" w14:textId="77777777" w:rsidR="001360C3" w:rsidRDefault="001360C3" w:rsidP="00F363DC">
      <w:pPr>
        <w:spacing w:after="0" w:line="240" w:lineRule="auto"/>
      </w:pPr>
      <w:r>
        <w:separator/>
      </w:r>
    </w:p>
  </w:endnote>
  <w:endnote w:type="continuationSeparator" w:id="0">
    <w:p w14:paraId="11F2F127" w14:textId="77777777" w:rsidR="001360C3" w:rsidRDefault="001360C3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4D0EA46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A575" w14:textId="77777777" w:rsidR="001360C3" w:rsidRDefault="001360C3" w:rsidP="00F363DC">
      <w:pPr>
        <w:spacing w:after="0" w:line="240" w:lineRule="auto"/>
      </w:pPr>
      <w:r>
        <w:separator/>
      </w:r>
    </w:p>
  </w:footnote>
  <w:footnote w:type="continuationSeparator" w:id="0">
    <w:p w14:paraId="5194026F" w14:textId="77777777" w:rsidR="001360C3" w:rsidRDefault="001360C3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3FF7" w14:textId="4B47E4B5" w:rsidR="00804F23" w:rsidRDefault="00BD091A" w:rsidP="00BD091A">
    <w:pPr>
      <w:pStyle w:val="Koptekst"/>
      <w:tabs>
        <w:tab w:val="clear" w:pos="4536"/>
        <w:tab w:val="clear" w:pos="9072"/>
        <w:tab w:val="left" w:pos="4020"/>
      </w:tabs>
    </w:pPr>
    <w:r>
      <w:tab/>
    </w:r>
  </w:p>
  <w:p w14:paraId="01CABBE2" w14:textId="201DDE87" w:rsidR="0007493C" w:rsidRDefault="009825EE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8C5771" wp14:editId="34EEB4AA">
          <wp:simplePos x="0" y="0"/>
          <wp:positionH relativeFrom="margin">
            <wp:align>left</wp:align>
          </wp:positionH>
          <wp:positionV relativeFrom="paragraph">
            <wp:posOffset>55880</wp:posOffset>
          </wp:positionV>
          <wp:extent cx="603250" cy="304800"/>
          <wp:effectExtent l="0" t="0" r="635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25E7F006">
              <wp:simplePos x="0" y="0"/>
              <wp:positionH relativeFrom="margin">
                <wp:align>left</wp:align>
              </wp:positionH>
              <wp:positionV relativeFrom="paragraph">
                <wp:posOffset>424180</wp:posOffset>
              </wp:positionV>
              <wp:extent cx="5819775" cy="85725"/>
              <wp:effectExtent l="0" t="0" r="9525" b="9525"/>
              <wp:wrapTopAndBottom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E437B3D" id="Rechthoek 7" o:spid="_x0000_s1026" style="position:absolute;margin-left:0;margin-top:33.4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" fillcolor="#44546a [3215]" stroked="f" strokeweight="1pt">
              <v:fill color2="#cde0f2 [980]" rotate="t" angle="90" colors="0 #44546a;48497f #b5d2ec;54395f #b5d2ec;1 #cee1f2" focus="100%" type="gradient"/>
              <w10:wrap type="topAndBottom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65B"/>
    <w:multiLevelType w:val="hybridMultilevel"/>
    <w:tmpl w:val="7098FA7C"/>
    <w:lvl w:ilvl="0" w:tplc="41C0D2E0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3"/>
  </w:num>
  <w:num w:numId="2" w16cid:durableId="1189417493">
    <w:abstractNumId w:val="9"/>
  </w:num>
  <w:num w:numId="3" w16cid:durableId="521434918">
    <w:abstractNumId w:val="8"/>
  </w:num>
  <w:num w:numId="4" w16cid:durableId="697852520">
    <w:abstractNumId w:val="3"/>
  </w:num>
  <w:num w:numId="5" w16cid:durableId="1960648356">
    <w:abstractNumId w:val="12"/>
  </w:num>
  <w:num w:numId="6" w16cid:durableId="2122410360">
    <w:abstractNumId w:val="5"/>
  </w:num>
  <w:num w:numId="7" w16cid:durableId="409934671">
    <w:abstractNumId w:val="1"/>
  </w:num>
  <w:num w:numId="8" w16cid:durableId="1774204553">
    <w:abstractNumId w:val="7"/>
  </w:num>
  <w:num w:numId="9" w16cid:durableId="2042122478">
    <w:abstractNumId w:val="15"/>
  </w:num>
  <w:num w:numId="10" w16cid:durableId="1975478692">
    <w:abstractNumId w:val="10"/>
  </w:num>
  <w:num w:numId="11" w16cid:durableId="1146893445">
    <w:abstractNumId w:val="14"/>
  </w:num>
  <w:num w:numId="12" w16cid:durableId="1107577624">
    <w:abstractNumId w:val="6"/>
  </w:num>
  <w:num w:numId="13" w16cid:durableId="1289313181">
    <w:abstractNumId w:val="11"/>
  </w:num>
  <w:num w:numId="14" w16cid:durableId="1537621138">
    <w:abstractNumId w:val="0"/>
  </w:num>
  <w:num w:numId="15" w16cid:durableId="1395660823">
    <w:abstractNumId w:val="4"/>
  </w:num>
  <w:num w:numId="16" w16cid:durableId="117148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04F7"/>
    <w:rsid w:val="00012606"/>
    <w:rsid w:val="00014E4A"/>
    <w:rsid w:val="000237F4"/>
    <w:rsid w:val="00054080"/>
    <w:rsid w:val="0007493C"/>
    <w:rsid w:val="00083791"/>
    <w:rsid w:val="000863ED"/>
    <w:rsid w:val="000B4641"/>
    <w:rsid w:val="000C0F4E"/>
    <w:rsid w:val="000C5675"/>
    <w:rsid w:val="000D1181"/>
    <w:rsid w:val="000E13F7"/>
    <w:rsid w:val="000F0E40"/>
    <w:rsid w:val="000F1C4F"/>
    <w:rsid w:val="001226DD"/>
    <w:rsid w:val="001360C3"/>
    <w:rsid w:val="00140CCB"/>
    <w:rsid w:val="00141E91"/>
    <w:rsid w:val="00153610"/>
    <w:rsid w:val="00156DDF"/>
    <w:rsid w:val="00165DC3"/>
    <w:rsid w:val="00171503"/>
    <w:rsid w:val="0018010D"/>
    <w:rsid w:val="0018645C"/>
    <w:rsid w:val="001D0A23"/>
    <w:rsid w:val="001E56E4"/>
    <w:rsid w:val="002038C4"/>
    <w:rsid w:val="00237925"/>
    <w:rsid w:val="002446C2"/>
    <w:rsid w:val="002734D8"/>
    <w:rsid w:val="00286A3E"/>
    <w:rsid w:val="002A16BB"/>
    <w:rsid w:val="002B45D0"/>
    <w:rsid w:val="002B5452"/>
    <w:rsid w:val="002E110F"/>
    <w:rsid w:val="002E7EAF"/>
    <w:rsid w:val="002F5AC3"/>
    <w:rsid w:val="003018E0"/>
    <w:rsid w:val="003221BD"/>
    <w:rsid w:val="00326837"/>
    <w:rsid w:val="00334095"/>
    <w:rsid w:val="00335795"/>
    <w:rsid w:val="00335BB2"/>
    <w:rsid w:val="00336908"/>
    <w:rsid w:val="00372E82"/>
    <w:rsid w:val="003A2C8F"/>
    <w:rsid w:val="003B24C0"/>
    <w:rsid w:val="003B7803"/>
    <w:rsid w:val="003E25E3"/>
    <w:rsid w:val="003F332B"/>
    <w:rsid w:val="00401FF5"/>
    <w:rsid w:val="00411BE7"/>
    <w:rsid w:val="004268FC"/>
    <w:rsid w:val="004608F7"/>
    <w:rsid w:val="00474E5C"/>
    <w:rsid w:val="0049370B"/>
    <w:rsid w:val="004976E2"/>
    <w:rsid w:val="004B7D1D"/>
    <w:rsid w:val="004D71DE"/>
    <w:rsid w:val="004E38E1"/>
    <w:rsid w:val="004F46C6"/>
    <w:rsid w:val="00502EF6"/>
    <w:rsid w:val="00513DDD"/>
    <w:rsid w:val="00517D22"/>
    <w:rsid w:val="00523712"/>
    <w:rsid w:val="00560843"/>
    <w:rsid w:val="00571407"/>
    <w:rsid w:val="005816B2"/>
    <w:rsid w:val="005871A5"/>
    <w:rsid w:val="00596AFF"/>
    <w:rsid w:val="005B0560"/>
    <w:rsid w:val="005B7BFE"/>
    <w:rsid w:val="005D06F2"/>
    <w:rsid w:val="005D0DF2"/>
    <w:rsid w:val="005D4CF7"/>
    <w:rsid w:val="005E3D02"/>
    <w:rsid w:val="005E469B"/>
    <w:rsid w:val="00616579"/>
    <w:rsid w:val="00621A06"/>
    <w:rsid w:val="006348D9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90202"/>
    <w:rsid w:val="006925DD"/>
    <w:rsid w:val="006A04A6"/>
    <w:rsid w:val="006A4CC3"/>
    <w:rsid w:val="006B602E"/>
    <w:rsid w:val="006C7345"/>
    <w:rsid w:val="006C735A"/>
    <w:rsid w:val="006D160F"/>
    <w:rsid w:val="006D16CF"/>
    <w:rsid w:val="00700E37"/>
    <w:rsid w:val="0071517F"/>
    <w:rsid w:val="007442FA"/>
    <w:rsid w:val="00751BA7"/>
    <w:rsid w:val="00753202"/>
    <w:rsid w:val="00766649"/>
    <w:rsid w:val="007810FD"/>
    <w:rsid w:val="00792D58"/>
    <w:rsid w:val="0079636E"/>
    <w:rsid w:val="007B0CD6"/>
    <w:rsid w:val="007D49FA"/>
    <w:rsid w:val="007E79DF"/>
    <w:rsid w:val="007F2A52"/>
    <w:rsid w:val="007F53DC"/>
    <w:rsid w:val="007F675D"/>
    <w:rsid w:val="00804F23"/>
    <w:rsid w:val="008117A7"/>
    <w:rsid w:val="00851811"/>
    <w:rsid w:val="00853412"/>
    <w:rsid w:val="0085677C"/>
    <w:rsid w:val="00872245"/>
    <w:rsid w:val="008733EE"/>
    <w:rsid w:val="00891753"/>
    <w:rsid w:val="008978CE"/>
    <w:rsid w:val="008A1CBB"/>
    <w:rsid w:val="008D29BA"/>
    <w:rsid w:val="008F1BD4"/>
    <w:rsid w:val="00900DEF"/>
    <w:rsid w:val="00905B20"/>
    <w:rsid w:val="009102C3"/>
    <w:rsid w:val="00933C52"/>
    <w:rsid w:val="00941A31"/>
    <w:rsid w:val="009448E8"/>
    <w:rsid w:val="00952B9A"/>
    <w:rsid w:val="009565D1"/>
    <w:rsid w:val="0097291E"/>
    <w:rsid w:val="009739D6"/>
    <w:rsid w:val="00973BC1"/>
    <w:rsid w:val="0097799D"/>
    <w:rsid w:val="009825EE"/>
    <w:rsid w:val="009833F5"/>
    <w:rsid w:val="009905F8"/>
    <w:rsid w:val="009A1C0F"/>
    <w:rsid w:val="009B1A28"/>
    <w:rsid w:val="009B7EF4"/>
    <w:rsid w:val="009D0669"/>
    <w:rsid w:val="009D08AE"/>
    <w:rsid w:val="00A368A4"/>
    <w:rsid w:val="00A36D49"/>
    <w:rsid w:val="00A4103E"/>
    <w:rsid w:val="00A60186"/>
    <w:rsid w:val="00A60A8F"/>
    <w:rsid w:val="00A61BA5"/>
    <w:rsid w:val="00A822DA"/>
    <w:rsid w:val="00A87DC4"/>
    <w:rsid w:val="00A87EFD"/>
    <w:rsid w:val="00AA4E68"/>
    <w:rsid w:val="00AC54E6"/>
    <w:rsid w:val="00AF0609"/>
    <w:rsid w:val="00B168E7"/>
    <w:rsid w:val="00B2087A"/>
    <w:rsid w:val="00B24088"/>
    <w:rsid w:val="00B24CB2"/>
    <w:rsid w:val="00B33515"/>
    <w:rsid w:val="00B349D5"/>
    <w:rsid w:val="00B37DF0"/>
    <w:rsid w:val="00B538C0"/>
    <w:rsid w:val="00B5703F"/>
    <w:rsid w:val="00B62F0D"/>
    <w:rsid w:val="00B672F8"/>
    <w:rsid w:val="00B725E6"/>
    <w:rsid w:val="00BA6A40"/>
    <w:rsid w:val="00BB0C9C"/>
    <w:rsid w:val="00BB5302"/>
    <w:rsid w:val="00BC2154"/>
    <w:rsid w:val="00BC40EE"/>
    <w:rsid w:val="00BD091A"/>
    <w:rsid w:val="00BD45D1"/>
    <w:rsid w:val="00BD4C8A"/>
    <w:rsid w:val="00BF1393"/>
    <w:rsid w:val="00BF4985"/>
    <w:rsid w:val="00BF6D93"/>
    <w:rsid w:val="00C10921"/>
    <w:rsid w:val="00C10C24"/>
    <w:rsid w:val="00C17F51"/>
    <w:rsid w:val="00C31089"/>
    <w:rsid w:val="00C32BFF"/>
    <w:rsid w:val="00C53D1C"/>
    <w:rsid w:val="00C57927"/>
    <w:rsid w:val="00C80A35"/>
    <w:rsid w:val="00CA5543"/>
    <w:rsid w:val="00CB4F1A"/>
    <w:rsid w:val="00CC385E"/>
    <w:rsid w:val="00CD08B2"/>
    <w:rsid w:val="00D108A9"/>
    <w:rsid w:val="00D20F56"/>
    <w:rsid w:val="00D26086"/>
    <w:rsid w:val="00D266A5"/>
    <w:rsid w:val="00D275BE"/>
    <w:rsid w:val="00D3769A"/>
    <w:rsid w:val="00D42230"/>
    <w:rsid w:val="00D504D5"/>
    <w:rsid w:val="00D55E2F"/>
    <w:rsid w:val="00D847CF"/>
    <w:rsid w:val="00DB5573"/>
    <w:rsid w:val="00DC2066"/>
    <w:rsid w:val="00DF7B02"/>
    <w:rsid w:val="00DF7D16"/>
    <w:rsid w:val="00E0644D"/>
    <w:rsid w:val="00E36BBF"/>
    <w:rsid w:val="00E5313F"/>
    <w:rsid w:val="00E53937"/>
    <w:rsid w:val="00E66DF4"/>
    <w:rsid w:val="00E733B4"/>
    <w:rsid w:val="00EB1FDF"/>
    <w:rsid w:val="00EB57D5"/>
    <w:rsid w:val="00EB7923"/>
    <w:rsid w:val="00ED0271"/>
    <w:rsid w:val="00EE00EA"/>
    <w:rsid w:val="00EF2D4F"/>
    <w:rsid w:val="00EF51C7"/>
    <w:rsid w:val="00EF5318"/>
    <w:rsid w:val="00F129E3"/>
    <w:rsid w:val="00F132F7"/>
    <w:rsid w:val="00F1387C"/>
    <w:rsid w:val="00F15FBC"/>
    <w:rsid w:val="00F25828"/>
    <w:rsid w:val="00F31888"/>
    <w:rsid w:val="00F363DC"/>
    <w:rsid w:val="00F5386E"/>
    <w:rsid w:val="00F72CBE"/>
    <w:rsid w:val="00F75E95"/>
    <w:rsid w:val="00F87B44"/>
    <w:rsid w:val="00FA0364"/>
    <w:rsid w:val="00FA34B0"/>
    <w:rsid w:val="00FA4065"/>
    <w:rsid w:val="00FD6202"/>
    <w:rsid w:val="00FE2D9E"/>
    <w:rsid w:val="00FF51C5"/>
    <w:rsid w:val="09FE2DFA"/>
    <w:rsid w:val="0A9E4387"/>
    <w:rsid w:val="172A56CA"/>
    <w:rsid w:val="1B535944"/>
    <w:rsid w:val="23AEC67E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3" ma:contentTypeDescription="Create a new document." ma:contentTypeScope="" ma:versionID="4e6f89768c0d3aa1ad679cd17ce97565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1a4facad8aefc320beeee1013fed57f9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</documentManagement>
</p:properties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874A3-AAEC-48F1-BA9C-AD83817B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2023-09-04T15:10:00Z</cp:lastPrinted>
  <dcterms:created xsi:type="dcterms:W3CDTF">2023-09-04T15:11:00Z</dcterms:created>
  <dcterms:modified xsi:type="dcterms:W3CDTF">2023-09-04T15:11:00Z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