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4AD9" w:rsidP="5A06ED0D" w:rsidRDefault="007E4AD9" w14:paraId="308BD8E1" w14:textId="1F145578">
      <w:pPr>
        <w:pStyle w:val="Kop1"/>
        <w:rPr>
          <w:rFonts w:ascii="Calibri" w:hAnsi="Calibri" w:eastAsia="Calibri" w:cs="Calibri" w:asciiTheme="minorAscii" w:hAnsiTheme="minorAscii" w:eastAsiaTheme="minorAscii" w:cstheme="minorAscii"/>
          <w:sz w:val="28"/>
          <w:szCs w:val="28"/>
        </w:rPr>
      </w:pPr>
      <w:r w:rsidRPr="5A06ED0D" w:rsidR="586B1CAC">
        <w:rPr>
          <w:rFonts w:ascii="Calibri" w:hAnsi="Calibri" w:eastAsia="Calibri" w:cs="Calibri" w:asciiTheme="minorAscii" w:hAnsiTheme="minorAscii" w:eastAsiaTheme="minorAscii" w:cstheme="minorAscii"/>
          <w:sz w:val="28"/>
          <w:szCs w:val="28"/>
        </w:rPr>
        <w:t xml:space="preserve">Bijlage 16 </w:t>
      </w:r>
      <w:r w:rsidRPr="5A06ED0D" w:rsidR="007E4AD9">
        <w:rPr>
          <w:rFonts w:ascii="Calibri" w:hAnsi="Calibri" w:eastAsia="Calibri" w:cs="Calibri" w:asciiTheme="minorAscii" w:hAnsiTheme="minorAscii" w:eastAsiaTheme="minorAscii" w:cstheme="minorAscii"/>
          <w:sz w:val="28"/>
          <w:szCs w:val="28"/>
        </w:rPr>
        <w:t>Wensen (ja/nee)</w:t>
      </w:r>
    </w:p>
    <w:p w:rsidR="007E4AD9" w:rsidP="007E4AD9" w:rsidRDefault="007E4AD9" w14:paraId="6D916712" w14:textId="6883A27D">
      <w:pPr>
        <w:rPr>
          <w:lang w:eastAsia="nl-NL"/>
        </w:rPr>
      </w:pPr>
      <w:r>
        <w:rPr>
          <w:lang w:eastAsia="nl-NL"/>
        </w:rPr>
        <w:t>Berekening aantal punten voor de wensen =</w:t>
      </w:r>
    </w:p>
    <w:p w:rsidRPr="007E4AD9" w:rsidR="007E4AD9" w:rsidP="007E4AD9" w:rsidRDefault="007E4AD9" w14:paraId="36720DE2" w14:textId="3EAF7E69">
      <w:pPr>
        <w:ind w:left="708"/>
        <w:rPr>
          <w:i/>
          <w:iCs/>
          <w:lang w:eastAsia="nl-NL"/>
        </w:rPr>
      </w:pPr>
      <w:r w:rsidRPr="007E4AD9">
        <w:rPr>
          <w:i/>
          <w:iCs/>
          <w:lang w:eastAsia="nl-NL"/>
        </w:rPr>
        <w:t>Aantal punten = 50/21*(aantal ja)</w:t>
      </w:r>
    </w:p>
    <w:p w:rsidRPr="007E4AD9" w:rsidR="007E4AD9" w:rsidP="007E4AD9" w:rsidRDefault="007E4AD9" w14:paraId="33496EE2" w14:textId="5DD32673">
      <w:pPr>
        <w:rPr>
          <w:lang w:eastAsia="nl-NL"/>
        </w:rPr>
      </w:pPr>
      <w:r w:rsidRPr="007E4AD9">
        <w:rPr>
          <w:lang w:eastAsia="nl-NL"/>
        </w:rPr>
        <w:t>Afronding op geheel getal</w:t>
      </w:r>
      <w:r w:rsidR="00EC50EC">
        <w:rPr>
          <w:lang w:eastAsia="nl-NL"/>
        </w:rPr>
        <w:t xml:space="preserve"> (geen decimalen)</w:t>
      </w:r>
      <w:r w:rsidRPr="007E4AD9">
        <w:rPr>
          <w:lang w:eastAsia="nl-NL"/>
        </w:rPr>
        <w:t xml:space="preserve">. </w:t>
      </w:r>
    </w:p>
    <w:tbl>
      <w:tblPr>
        <w:tblStyle w:val="Tabelraster"/>
        <w:tblW w:w="9062" w:type="dxa"/>
        <w:tblLook w:val="04A0" w:firstRow="1" w:lastRow="0" w:firstColumn="1" w:lastColumn="0" w:noHBand="0" w:noVBand="1"/>
      </w:tblPr>
      <w:tblGrid>
        <w:gridCol w:w="840"/>
        <w:gridCol w:w="6824"/>
        <w:gridCol w:w="1398"/>
      </w:tblGrid>
      <w:tr w:rsidRPr="007E4AD9" w:rsidR="007E4AD9" w:rsidTr="5A06ED0D" w14:paraId="7B5D8951" w14:textId="068EED15">
        <w:trPr>
          <w:trHeight w:val="285"/>
        </w:trPr>
        <w:tc>
          <w:tcPr>
            <w:tcW w:w="840" w:type="dxa"/>
            <w:shd w:val="clear" w:color="auto" w:fill="E7E6E6" w:themeFill="background2"/>
            <w:noWrap/>
            <w:tcMar/>
            <w:hideMark/>
          </w:tcPr>
          <w:p w:rsidRPr="007E4AD9" w:rsidR="007E4AD9" w:rsidP="007E4AD9" w:rsidRDefault="007E4AD9" w14:paraId="000BFC65" w14:textId="5A7EEB33">
            <w:pPr>
              <w:rPr>
                <w:b/>
                <w:bCs/>
                <w:lang w:eastAsia="nl-NL"/>
              </w:rPr>
            </w:pPr>
            <w:r w:rsidRPr="007E4AD9">
              <w:rPr>
                <w:b/>
                <w:bCs/>
                <w:lang w:eastAsia="nl-NL"/>
              </w:rPr>
              <w:t>N</w:t>
            </w:r>
            <w:r>
              <w:rPr>
                <w:b/>
                <w:bCs/>
                <w:lang w:eastAsia="nl-NL"/>
              </w:rPr>
              <w:t>r.</w:t>
            </w:r>
          </w:p>
        </w:tc>
        <w:tc>
          <w:tcPr>
            <w:tcW w:w="6824" w:type="dxa"/>
            <w:shd w:val="clear" w:color="auto" w:fill="E7E6E6" w:themeFill="background2"/>
            <w:tcMar/>
            <w:hideMark/>
          </w:tcPr>
          <w:p w:rsidRPr="007E4AD9" w:rsidR="007E4AD9" w:rsidP="007E4AD9" w:rsidRDefault="007E4AD9" w14:paraId="66DE5B32" w14:textId="74A22813">
            <w:pPr>
              <w:spacing w:after="0" w:line="240" w:lineRule="auto"/>
              <w:rPr>
                <w:rFonts w:ascii="Calibri" w:hAnsi="Calibri" w:eastAsia="Times New Roman" w:cs="Calibri"/>
                <w:b/>
                <w:bCs/>
                <w:lang w:eastAsia="nl-NL"/>
              </w:rPr>
            </w:pPr>
            <w:r w:rsidRPr="007E4AD9">
              <w:rPr>
                <w:rFonts w:ascii="Calibri" w:hAnsi="Calibri" w:eastAsia="Times New Roman" w:cs="Calibri"/>
                <w:b/>
                <w:bCs/>
                <w:lang w:eastAsia="nl-NL"/>
              </w:rPr>
              <w:t>Wens</w:t>
            </w:r>
          </w:p>
        </w:tc>
        <w:tc>
          <w:tcPr>
            <w:tcW w:w="1398" w:type="dxa"/>
            <w:shd w:val="clear" w:color="auto" w:fill="E7E6E6" w:themeFill="background2"/>
            <w:tcMar/>
          </w:tcPr>
          <w:p w:rsidRPr="007E4AD9" w:rsidR="007E4AD9" w:rsidP="007E4AD9" w:rsidRDefault="007E4AD9" w14:paraId="3429F6AD" w14:textId="570D513D">
            <w:pPr>
              <w:rPr>
                <w:rFonts w:ascii="Calibri" w:hAnsi="Calibri" w:eastAsia="Times New Roman" w:cs="Calibri"/>
                <w:b/>
                <w:bCs/>
                <w:lang w:eastAsia="nl-NL"/>
              </w:rPr>
            </w:pPr>
            <w:r>
              <w:rPr>
                <w:rFonts w:ascii="Calibri" w:hAnsi="Calibri" w:eastAsia="Times New Roman" w:cs="Calibri"/>
                <w:b/>
                <w:bCs/>
                <w:lang w:eastAsia="nl-NL"/>
              </w:rPr>
              <w:t>Ja/nee</w:t>
            </w:r>
          </w:p>
        </w:tc>
      </w:tr>
      <w:tr w:rsidRPr="007E4AD9" w:rsidR="007E4AD9" w:rsidTr="5A06ED0D" w14:paraId="75E88B53" w14:textId="48E91F97">
        <w:trPr>
          <w:trHeight w:val="570"/>
        </w:trPr>
        <w:tc>
          <w:tcPr>
            <w:tcW w:w="840" w:type="dxa"/>
            <w:noWrap/>
            <w:tcMar/>
            <w:hideMark/>
          </w:tcPr>
          <w:p w:rsidRPr="007E4AD9" w:rsidR="007E4AD9" w:rsidP="007E4AD9" w:rsidRDefault="007E4AD9" w14:paraId="4E69F571" w14:textId="50131643">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w:t>
            </w:r>
          </w:p>
        </w:tc>
        <w:tc>
          <w:tcPr>
            <w:tcW w:w="6824" w:type="dxa"/>
            <w:tcMar/>
            <w:hideMark/>
          </w:tcPr>
          <w:p w:rsidRPr="007E4AD9" w:rsidR="007E4AD9" w:rsidP="007E4AD9" w:rsidRDefault="007E4AD9" w14:paraId="51F9C432" w14:textId="77777777">
            <w:pPr>
              <w:rPr>
                <w:rFonts w:ascii="Calibri" w:hAnsi="Calibri" w:eastAsia="Times New Roman" w:cs="Calibri"/>
                <w:lang w:eastAsia="nl-NL"/>
              </w:rPr>
            </w:pPr>
            <w:r w:rsidRPr="007E4AD9">
              <w:rPr>
                <w:rFonts w:ascii="Times New Roman" w:hAnsi="Times New Roman" w:eastAsia="Times New Roman" w:cs="Times New Roman"/>
                <w:sz w:val="14"/>
                <w:szCs w:val="14"/>
                <w:lang w:eastAsia="nl-NL"/>
              </w:rPr>
              <w:t xml:space="preserve"> </w:t>
            </w:r>
            <w:r w:rsidRPr="007E4AD9">
              <w:rPr>
                <w:rFonts w:ascii="Calibri" w:hAnsi="Calibri" w:eastAsia="Times New Roman" w:cs="Calibri"/>
                <w:lang w:eastAsia="nl-NL"/>
              </w:rPr>
              <w:t>Het is mogelijk om een eerder aangemaakte inkooporder te wijzigen. Voorbeelden hiervan zijn het ophogen, het verlagen of het wijzigen van de kostensoort.</w:t>
            </w:r>
          </w:p>
        </w:tc>
        <w:tc>
          <w:tcPr>
            <w:tcW w:w="1398" w:type="dxa"/>
            <w:tcMar/>
          </w:tcPr>
          <w:p w:rsidRPr="007E4AD9" w:rsidR="007E4AD9" w:rsidP="007E4AD9" w:rsidRDefault="007E4AD9" w14:paraId="326DCE68" w14:textId="77777777">
            <w:pPr>
              <w:rPr>
                <w:rFonts w:ascii="Times New Roman" w:hAnsi="Times New Roman" w:eastAsia="Times New Roman" w:cs="Times New Roman"/>
                <w:sz w:val="14"/>
                <w:szCs w:val="14"/>
                <w:lang w:eastAsia="nl-NL"/>
              </w:rPr>
            </w:pPr>
          </w:p>
        </w:tc>
      </w:tr>
      <w:tr w:rsidRPr="007E4AD9" w:rsidR="007E4AD9" w:rsidTr="5A06ED0D" w14:paraId="243FCDBE" w14:textId="39942A7F">
        <w:trPr>
          <w:trHeight w:val="285"/>
        </w:trPr>
        <w:tc>
          <w:tcPr>
            <w:tcW w:w="840" w:type="dxa"/>
            <w:noWrap/>
            <w:tcMar/>
            <w:hideMark/>
          </w:tcPr>
          <w:p w:rsidRPr="007E4AD9" w:rsidR="007E4AD9" w:rsidP="007E4AD9" w:rsidRDefault="007E4AD9" w14:paraId="7535F532" w14:textId="36FB6174">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2</w:t>
            </w:r>
          </w:p>
        </w:tc>
        <w:tc>
          <w:tcPr>
            <w:tcW w:w="6824" w:type="dxa"/>
            <w:tcMar/>
            <w:hideMark/>
          </w:tcPr>
          <w:p w:rsidRPr="007E4AD9" w:rsidR="007E4AD9" w:rsidP="007E4AD9" w:rsidRDefault="007E4AD9" w14:paraId="320C7DB8" w14:textId="77777777">
            <w:pPr>
              <w:rPr>
                <w:rFonts w:ascii="Calibri" w:hAnsi="Calibri" w:eastAsia="Times New Roman" w:cs="Calibri"/>
                <w:lang w:eastAsia="nl-NL"/>
              </w:rPr>
            </w:pPr>
            <w:r w:rsidRPr="007E4AD9">
              <w:rPr>
                <w:rFonts w:ascii="Calibri" w:hAnsi="Calibri" w:eastAsia="Times New Roman" w:cstheme="minorHAnsi"/>
                <w:lang w:eastAsia="nl-NL"/>
              </w:rPr>
              <w:t>Inkooporders kunnen ook na goederenontvangst en na boeken van factuur gewijzigd worden.</w:t>
            </w:r>
          </w:p>
        </w:tc>
        <w:tc>
          <w:tcPr>
            <w:tcW w:w="1398" w:type="dxa"/>
            <w:tcMar/>
          </w:tcPr>
          <w:p w:rsidRPr="007E4AD9" w:rsidR="007E4AD9" w:rsidP="007E4AD9" w:rsidRDefault="007E4AD9" w14:paraId="042F2541" w14:textId="77777777">
            <w:pPr>
              <w:rPr>
                <w:rFonts w:ascii="Calibri" w:hAnsi="Calibri" w:eastAsia="Times New Roman" w:cstheme="minorHAnsi"/>
                <w:lang w:eastAsia="nl-NL"/>
              </w:rPr>
            </w:pPr>
          </w:p>
        </w:tc>
      </w:tr>
      <w:tr w:rsidRPr="007E4AD9" w:rsidR="007E4AD9" w:rsidTr="5A06ED0D" w14:paraId="6000EA86" w14:textId="1FB4DD4C">
        <w:trPr>
          <w:trHeight w:val="855"/>
        </w:trPr>
        <w:tc>
          <w:tcPr>
            <w:tcW w:w="840" w:type="dxa"/>
            <w:noWrap/>
            <w:tcMar/>
            <w:hideMark/>
          </w:tcPr>
          <w:p w:rsidRPr="007E4AD9" w:rsidR="007E4AD9" w:rsidP="007E4AD9" w:rsidRDefault="007E4AD9" w14:paraId="3EC4B9F4" w14:textId="13E33BBD">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3</w:t>
            </w:r>
          </w:p>
        </w:tc>
        <w:tc>
          <w:tcPr>
            <w:tcW w:w="6824" w:type="dxa"/>
            <w:tcMar/>
            <w:hideMark/>
          </w:tcPr>
          <w:p w:rsidRPr="007E4AD9" w:rsidR="007E4AD9" w:rsidP="007E4AD9" w:rsidRDefault="007E4AD9" w14:paraId="1C1EADDE" w14:textId="77777777">
            <w:pPr>
              <w:rPr>
                <w:rFonts w:ascii="Calibri" w:hAnsi="Calibri" w:eastAsia="Times New Roman" w:cs="Calibri"/>
                <w:lang w:eastAsia="nl-NL"/>
              </w:rPr>
            </w:pPr>
            <w:r w:rsidRPr="007E4AD9">
              <w:rPr>
                <w:rFonts w:ascii="Calibri" w:hAnsi="Calibri" w:eastAsia="Times New Roman" w:cstheme="minorHAnsi"/>
                <w:lang w:eastAsia="nl-NL"/>
              </w:rPr>
              <w:t xml:space="preserve">Per bestelling kan de besteller aangeven wie de goederen van de betreffende bestelling ontvangt in de applicatie. De besteller kan alleen ontvangers aanwijzen die over de juiste rollen en rechten beschikken.  </w:t>
            </w:r>
          </w:p>
        </w:tc>
        <w:tc>
          <w:tcPr>
            <w:tcW w:w="1398" w:type="dxa"/>
            <w:tcMar/>
          </w:tcPr>
          <w:p w:rsidRPr="007E4AD9" w:rsidR="007E4AD9" w:rsidP="007E4AD9" w:rsidRDefault="007E4AD9" w14:paraId="789A664D" w14:textId="77777777">
            <w:pPr>
              <w:rPr>
                <w:rFonts w:ascii="Calibri" w:hAnsi="Calibri" w:eastAsia="Times New Roman" w:cstheme="minorHAnsi"/>
                <w:lang w:eastAsia="nl-NL"/>
              </w:rPr>
            </w:pPr>
          </w:p>
        </w:tc>
      </w:tr>
      <w:tr w:rsidRPr="007E4AD9" w:rsidR="007E4AD9" w:rsidTr="5A06ED0D" w14:paraId="150085F7" w14:textId="565392EE">
        <w:trPr>
          <w:trHeight w:val="570"/>
        </w:trPr>
        <w:tc>
          <w:tcPr>
            <w:tcW w:w="840" w:type="dxa"/>
            <w:noWrap/>
            <w:tcMar/>
            <w:hideMark/>
          </w:tcPr>
          <w:p w:rsidRPr="007E4AD9" w:rsidR="007E4AD9" w:rsidP="007E4AD9" w:rsidRDefault="007E4AD9" w14:paraId="1E31FE75" w14:textId="7365A1F0">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4</w:t>
            </w:r>
          </w:p>
        </w:tc>
        <w:tc>
          <w:tcPr>
            <w:tcW w:w="6824" w:type="dxa"/>
            <w:tcMar/>
            <w:hideMark/>
          </w:tcPr>
          <w:p w:rsidRPr="007E4AD9" w:rsidR="007E4AD9" w:rsidP="007E4AD9" w:rsidRDefault="007E4AD9" w14:paraId="7EFB97EE" w14:textId="77777777">
            <w:pPr>
              <w:rPr>
                <w:rFonts w:ascii="Calibri" w:hAnsi="Calibri" w:eastAsia="Times New Roman" w:cs="Calibri"/>
                <w:lang w:eastAsia="nl-NL"/>
              </w:rPr>
            </w:pPr>
            <w:r w:rsidRPr="007E4AD9">
              <w:rPr>
                <w:rFonts w:ascii="Calibri" w:hAnsi="Calibri" w:eastAsia="Times New Roman" w:cstheme="minorHAnsi"/>
                <w:lang w:eastAsia="nl-NL"/>
              </w:rPr>
              <w:t>Het is mogelijk om in één bestelaanvraag zowel een vrije tekstaanvraag als catalogusbestelling te doen.</w:t>
            </w:r>
          </w:p>
        </w:tc>
        <w:tc>
          <w:tcPr>
            <w:tcW w:w="1398" w:type="dxa"/>
            <w:tcMar/>
          </w:tcPr>
          <w:p w:rsidRPr="007E4AD9" w:rsidR="007E4AD9" w:rsidP="007E4AD9" w:rsidRDefault="007E4AD9" w14:paraId="5F389125" w14:textId="77777777">
            <w:pPr>
              <w:rPr>
                <w:rFonts w:ascii="Calibri" w:hAnsi="Calibri" w:eastAsia="Times New Roman" w:cstheme="minorHAnsi"/>
                <w:lang w:eastAsia="nl-NL"/>
              </w:rPr>
            </w:pPr>
          </w:p>
        </w:tc>
      </w:tr>
      <w:tr w:rsidRPr="007E4AD9" w:rsidR="007E4AD9" w:rsidTr="5A06ED0D" w14:paraId="4632529F" w14:textId="18252CBC">
        <w:trPr>
          <w:trHeight w:val="570"/>
        </w:trPr>
        <w:tc>
          <w:tcPr>
            <w:tcW w:w="840" w:type="dxa"/>
            <w:noWrap/>
            <w:tcMar/>
            <w:hideMark/>
          </w:tcPr>
          <w:p w:rsidRPr="007E4AD9" w:rsidR="007E4AD9" w:rsidP="007E4AD9" w:rsidRDefault="007E4AD9" w14:paraId="50201BFD" w14:textId="00B6C369">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5</w:t>
            </w:r>
          </w:p>
        </w:tc>
        <w:tc>
          <w:tcPr>
            <w:tcW w:w="6824" w:type="dxa"/>
            <w:tcMar/>
            <w:hideMark/>
          </w:tcPr>
          <w:p w:rsidRPr="007E4AD9" w:rsidR="007E4AD9" w:rsidP="007E4AD9" w:rsidRDefault="007E4AD9" w14:paraId="7ADE88C8" w14:textId="77777777">
            <w:pPr>
              <w:rPr>
                <w:rFonts w:ascii="Calibri" w:hAnsi="Calibri" w:eastAsia="Times New Roman" w:cs="Calibri"/>
                <w:lang w:eastAsia="nl-NL"/>
              </w:rPr>
            </w:pPr>
            <w:r w:rsidRPr="007E4AD9">
              <w:rPr>
                <w:rFonts w:ascii="Calibri" w:hAnsi="Calibri" w:eastAsia="Times New Roman" w:cstheme="minorHAnsi"/>
                <w:lang w:eastAsia="nl-NL"/>
              </w:rPr>
              <w:t>De financiële administratie kan ingrijpen op lopende workflows voor facturen, bijvoorbeeld het terughalen van een factuur bij een budgethouder en toewijzen aan een andere budgethouder.</w:t>
            </w:r>
          </w:p>
        </w:tc>
        <w:tc>
          <w:tcPr>
            <w:tcW w:w="1398" w:type="dxa"/>
            <w:tcMar/>
          </w:tcPr>
          <w:p w:rsidRPr="007E4AD9" w:rsidR="007E4AD9" w:rsidP="007E4AD9" w:rsidRDefault="007E4AD9" w14:paraId="6531D82D" w14:textId="77777777">
            <w:pPr>
              <w:rPr>
                <w:rFonts w:ascii="Calibri" w:hAnsi="Calibri" w:eastAsia="Times New Roman" w:cstheme="minorHAnsi"/>
                <w:lang w:eastAsia="nl-NL"/>
              </w:rPr>
            </w:pPr>
          </w:p>
        </w:tc>
      </w:tr>
      <w:tr w:rsidRPr="007E4AD9" w:rsidR="007E4AD9" w:rsidTr="5A06ED0D" w14:paraId="31CBE343" w14:textId="443F12CF">
        <w:trPr>
          <w:trHeight w:val="570"/>
        </w:trPr>
        <w:tc>
          <w:tcPr>
            <w:tcW w:w="840" w:type="dxa"/>
            <w:noWrap/>
            <w:tcMar/>
            <w:hideMark/>
          </w:tcPr>
          <w:p w:rsidRPr="007E4AD9" w:rsidR="007E4AD9" w:rsidP="007E4AD9" w:rsidRDefault="007E4AD9" w14:paraId="1398823E" w14:textId="24E81047">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6</w:t>
            </w:r>
          </w:p>
        </w:tc>
        <w:tc>
          <w:tcPr>
            <w:tcW w:w="6824" w:type="dxa"/>
            <w:tcMar/>
            <w:hideMark/>
          </w:tcPr>
          <w:p w:rsidRPr="007E4AD9" w:rsidR="007E4AD9" w:rsidP="007E4AD9" w:rsidRDefault="007E4AD9" w14:paraId="5CC94E40" w14:textId="77777777">
            <w:pPr>
              <w:rPr>
                <w:rFonts w:ascii="Calibri" w:hAnsi="Calibri" w:eastAsia="Times New Roman" w:cs="Calibri"/>
                <w:lang w:eastAsia="nl-NL"/>
              </w:rPr>
            </w:pPr>
            <w:r w:rsidRPr="007E4AD9">
              <w:rPr>
                <w:rFonts w:ascii="Calibri" w:hAnsi="Calibri" w:eastAsia="Times New Roman" w:cstheme="minorHAnsi"/>
                <w:lang w:eastAsia="nl-NL"/>
              </w:rPr>
              <w:t>De applicatie voorziet in de mogelijkheid om geautomatiseerd openstaande verplichtingen af te sluiten. Criteria hiervoor kan ROC MN zelf instellen, bijvoorbeeld op basis van geplande leverdatum.</w:t>
            </w:r>
          </w:p>
        </w:tc>
        <w:tc>
          <w:tcPr>
            <w:tcW w:w="1398" w:type="dxa"/>
            <w:tcMar/>
          </w:tcPr>
          <w:p w:rsidRPr="007E4AD9" w:rsidR="007E4AD9" w:rsidP="007E4AD9" w:rsidRDefault="007E4AD9" w14:paraId="42C16E95" w14:textId="77777777">
            <w:pPr>
              <w:rPr>
                <w:rFonts w:ascii="Calibri" w:hAnsi="Calibri" w:eastAsia="Times New Roman" w:cstheme="minorHAnsi"/>
                <w:lang w:eastAsia="nl-NL"/>
              </w:rPr>
            </w:pPr>
          </w:p>
        </w:tc>
      </w:tr>
      <w:tr w:rsidRPr="007E4AD9" w:rsidR="007E4AD9" w:rsidTr="5A06ED0D" w14:paraId="06BCE35E" w14:textId="11BC2CBD">
        <w:trPr>
          <w:trHeight w:val="285"/>
        </w:trPr>
        <w:tc>
          <w:tcPr>
            <w:tcW w:w="840" w:type="dxa"/>
            <w:noWrap/>
            <w:tcMar/>
            <w:hideMark/>
          </w:tcPr>
          <w:p w:rsidRPr="007E4AD9" w:rsidR="007E4AD9" w:rsidP="007E4AD9" w:rsidRDefault="007E4AD9" w14:paraId="75DA5E66" w14:textId="28EA8372">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7</w:t>
            </w:r>
          </w:p>
        </w:tc>
        <w:tc>
          <w:tcPr>
            <w:tcW w:w="6824" w:type="dxa"/>
            <w:tcMar/>
            <w:hideMark/>
          </w:tcPr>
          <w:p w:rsidRPr="007E4AD9" w:rsidR="007E4AD9" w:rsidP="007E4AD9" w:rsidRDefault="007E4AD9" w14:paraId="55645FD2" w14:textId="77777777">
            <w:pPr>
              <w:rPr>
                <w:rFonts w:ascii="Calibri" w:hAnsi="Calibri" w:eastAsia="Times New Roman" w:cs="Calibri"/>
                <w:lang w:eastAsia="nl-NL"/>
              </w:rPr>
            </w:pPr>
            <w:r w:rsidRPr="007E4AD9">
              <w:rPr>
                <w:rFonts w:ascii="Calibri" w:hAnsi="Calibri" w:eastAsia="Times New Roman" w:cstheme="minorHAnsi"/>
                <w:lang w:eastAsia="nl-NL"/>
              </w:rPr>
              <w:t>In de applicatie is in te stellen met welke frequentie gebruikers notificaties krijgen voor hun taken.</w:t>
            </w:r>
          </w:p>
        </w:tc>
        <w:tc>
          <w:tcPr>
            <w:tcW w:w="1398" w:type="dxa"/>
            <w:tcMar/>
          </w:tcPr>
          <w:p w:rsidRPr="007E4AD9" w:rsidR="007E4AD9" w:rsidP="007E4AD9" w:rsidRDefault="007E4AD9" w14:paraId="7B0D03A2" w14:textId="77777777">
            <w:pPr>
              <w:rPr>
                <w:rFonts w:ascii="Calibri" w:hAnsi="Calibri" w:eastAsia="Times New Roman" w:cstheme="minorHAnsi"/>
                <w:lang w:eastAsia="nl-NL"/>
              </w:rPr>
            </w:pPr>
          </w:p>
        </w:tc>
      </w:tr>
      <w:tr w:rsidRPr="007E4AD9" w:rsidR="007E4AD9" w:rsidTr="5A06ED0D" w14:paraId="2735B3C6" w14:textId="3D5147CD">
        <w:trPr>
          <w:trHeight w:val="570"/>
        </w:trPr>
        <w:tc>
          <w:tcPr>
            <w:tcW w:w="840" w:type="dxa"/>
            <w:noWrap/>
            <w:tcMar/>
            <w:hideMark/>
          </w:tcPr>
          <w:p w:rsidRPr="007E4AD9" w:rsidR="007E4AD9" w:rsidP="007E4AD9" w:rsidRDefault="007E4AD9" w14:paraId="176B4C17" w14:textId="6323617F">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8</w:t>
            </w:r>
          </w:p>
        </w:tc>
        <w:tc>
          <w:tcPr>
            <w:tcW w:w="6824" w:type="dxa"/>
            <w:tcMar/>
            <w:hideMark/>
          </w:tcPr>
          <w:p w:rsidRPr="007E4AD9" w:rsidR="007E4AD9" w:rsidP="007E4AD9" w:rsidRDefault="007E4AD9" w14:paraId="0A52D803" w14:textId="77777777">
            <w:pPr>
              <w:rPr>
                <w:rFonts w:ascii="Calibri" w:hAnsi="Calibri" w:eastAsia="Times New Roman" w:cs="Calibri"/>
                <w:lang w:eastAsia="nl-NL"/>
              </w:rPr>
            </w:pPr>
            <w:r w:rsidRPr="007E4AD9">
              <w:rPr>
                <w:rFonts w:ascii="Calibri" w:hAnsi="Calibri" w:eastAsia="Times New Roman" w:cstheme="minorHAnsi"/>
                <w:lang w:eastAsia="nl-NL"/>
              </w:rPr>
              <w:t>De financiële administratie heeft de mogelijkheid om een andere budgethouder te koppelen aan een factuur, zonder dat de geselecteerde kostenplaats wijzigt.</w:t>
            </w:r>
          </w:p>
        </w:tc>
        <w:tc>
          <w:tcPr>
            <w:tcW w:w="1398" w:type="dxa"/>
            <w:tcMar/>
          </w:tcPr>
          <w:p w:rsidRPr="007E4AD9" w:rsidR="007E4AD9" w:rsidP="007E4AD9" w:rsidRDefault="007E4AD9" w14:paraId="723C5751" w14:textId="77777777">
            <w:pPr>
              <w:rPr>
                <w:rFonts w:ascii="Calibri" w:hAnsi="Calibri" w:eastAsia="Times New Roman" w:cstheme="minorHAnsi"/>
                <w:lang w:eastAsia="nl-NL"/>
              </w:rPr>
            </w:pPr>
          </w:p>
        </w:tc>
      </w:tr>
      <w:tr w:rsidRPr="007E4AD9" w:rsidR="007E4AD9" w:rsidTr="5A06ED0D" w14:paraId="20FA45D1" w14:textId="0FEEA215">
        <w:trPr>
          <w:trHeight w:val="570"/>
        </w:trPr>
        <w:tc>
          <w:tcPr>
            <w:tcW w:w="840" w:type="dxa"/>
            <w:noWrap/>
            <w:tcMar/>
            <w:hideMark/>
          </w:tcPr>
          <w:p w:rsidRPr="007E4AD9" w:rsidR="007E4AD9" w:rsidP="007E4AD9" w:rsidRDefault="007E4AD9" w14:paraId="523E6DBF" w14:textId="7B71CD60">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9</w:t>
            </w:r>
          </w:p>
        </w:tc>
        <w:tc>
          <w:tcPr>
            <w:tcW w:w="6824" w:type="dxa"/>
            <w:tcMar/>
            <w:hideMark/>
          </w:tcPr>
          <w:p w:rsidRPr="007E4AD9" w:rsidR="007E4AD9" w:rsidP="007E4AD9" w:rsidRDefault="007E4AD9" w14:paraId="400528C8" w14:textId="77777777">
            <w:pPr>
              <w:rPr>
                <w:rFonts w:ascii="Calibri" w:hAnsi="Calibri" w:eastAsia="Times New Roman" w:cs="Calibri"/>
                <w:lang w:eastAsia="nl-NL"/>
              </w:rPr>
            </w:pPr>
            <w:r w:rsidRPr="007E4AD9">
              <w:rPr>
                <w:rFonts w:ascii="Calibri" w:hAnsi="Calibri" w:eastAsia="Times New Roman" w:cstheme="minorHAnsi"/>
                <w:lang w:eastAsia="nl-NL"/>
              </w:rPr>
              <w:t>De applicatie biedt mogelijkheden dat ingehuurde managers niet hun eigen facturen kunnen goedkeuren.</w:t>
            </w:r>
          </w:p>
        </w:tc>
        <w:tc>
          <w:tcPr>
            <w:tcW w:w="1398" w:type="dxa"/>
            <w:tcMar/>
          </w:tcPr>
          <w:p w:rsidRPr="007E4AD9" w:rsidR="007E4AD9" w:rsidP="007E4AD9" w:rsidRDefault="007E4AD9" w14:paraId="50CCC995" w14:textId="77777777">
            <w:pPr>
              <w:rPr>
                <w:rFonts w:ascii="Calibri" w:hAnsi="Calibri" w:eastAsia="Times New Roman" w:cstheme="minorHAnsi"/>
                <w:lang w:eastAsia="nl-NL"/>
              </w:rPr>
            </w:pPr>
          </w:p>
        </w:tc>
      </w:tr>
      <w:tr w:rsidRPr="007E4AD9" w:rsidR="007E4AD9" w:rsidTr="5A06ED0D" w14:paraId="0E2AC01F" w14:textId="5B5E3DAE">
        <w:trPr>
          <w:trHeight w:val="285"/>
        </w:trPr>
        <w:tc>
          <w:tcPr>
            <w:tcW w:w="840" w:type="dxa"/>
            <w:noWrap/>
            <w:tcMar/>
            <w:hideMark/>
          </w:tcPr>
          <w:p w:rsidRPr="007E4AD9" w:rsidR="007E4AD9" w:rsidP="007E4AD9" w:rsidRDefault="007E4AD9" w14:paraId="3C552F81" w14:textId="65991D58">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10</w:t>
            </w:r>
          </w:p>
        </w:tc>
        <w:tc>
          <w:tcPr>
            <w:tcW w:w="6824" w:type="dxa"/>
            <w:tcMar/>
            <w:hideMark/>
          </w:tcPr>
          <w:p w:rsidRPr="007E4AD9" w:rsidR="007E4AD9" w:rsidP="007E4AD9" w:rsidRDefault="007E4AD9" w14:paraId="2B0C33C4" w14:textId="77777777">
            <w:pPr>
              <w:rPr>
                <w:rFonts w:ascii="Calibri" w:hAnsi="Calibri" w:eastAsia="Times New Roman" w:cs="Calibri"/>
                <w:lang w:eastAsia="nl-NL"/>
              </w:rPr>
            </w:pPr>
            <w:r w:rsidRPr="007E4AD9">
              <w:rPr>
                <w:rFonts w:ascii="Calibri" w:hAnsi="Calibri" w:eastAsia="Times New Roman" w:cstheme="minorHAnsi"/>
                <w:lang w:eastAsia="nl-NL"/>
              </w:rPr>
              <w:t>De applicatie biedt de mogelijkheid om betalingen te doen via een betaalpas en/of iDeal.</w:t>
            </w:r>
          </w:p>
        </w:tc>
        <w:tc>
          <w:tcPr>
            <w:tcW w:w="1398" w:type="dxa"/>
            <w:tcMar/>
          </w:tcPr>
          <w:p w:rsidRPr="007E4AD9" w:rsidR="007E4AD9" w:rsidP="007E4AD9" w:rsidRDefault="007E4AD9" w14:paraId="49713346" w14:textId="77777777">
            <w:pPr>
              <w:rPr>
                <w:rFonts w:ascii="Calibri" w:hAnsi="Calibri" w:eastAsia="Times New Roman" w:cstheme="minorHAnsi"/>
                <w:lang w:eastAsia="nl-NL"/>
              </w:rPr>
            </w:pPr>
          </w:p>
        </w:tc>
      </w:tr>
      <w:tr w:rsidRPr="007E4AD9" w:rsidR="007E4AD9" w:rsidTr="5A06ED0D" w14:paraId="5368E404" w14:textId="16C8CFF6">
        <w:trPr>
          <w:trHeight w:val="1140"/>
        </w:trPr>
        <w:tc>
          <w:tcPr>
            <w:tcW w:w="840" w:type="dxa"/>
            <w:noWrap/>
            <w:tcMar/>
            <w:hideMark/>
          </w:tcPr>
          <w:p w:rsidRPr="007E4AD9" w:rsidR="007E4AD9" w:rsidP="007E4AD9" w:rsidRDefault="007E4AD9" w14:paraId="1919178B" w14:textId="43BD3F31">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11</w:t>
            </w:r>
          </w:p>
        </w:tc>
        <w:tc>
          <w:tcPr>
            <w:tcW w:w="6824" w:type="dxa"/>
            <w:tcMar/>
            <w:hideMark/>
          </w:tcPr>
          <w:p w:rsidRPr="007E4AD9" w:rsidR="007E4AD9" w:rsidP="007E4AD9" w:rsidRDefault="007E4AD9" w14:paraId="72A8DE66" w14:textId="77777777">
            <w:pPr>
              <w:rPr>
                <w:rFonts w:ascii="Calibri" w:hAnsi="Calibri" w:eastAsia="Times New Roman" w:cs="Calibri"/>
                <w:lang w:eastAsia="nl-NL"/>
              </w:rPr>
            </w:pPr>
            <w:r w:rsidRPr="007E4AD9">
              <w:rPr>
                <w:rFonts w:ascii="Calibri" w:hAnsi="Calibri" w:eastAsia="Times New Roman" w:cstheme="minorHAnsi"/>
                <w:lang w:eastAsia="nl-NL"/>
              </w:rPr>
              <w:t>Bij ROC MN zijn er enkele kostenplaatsen waar er meerdere goedkeurders gekoppeld zijn aan één kostenplaats. Standaard worden aanvragen en facturen naar de goedkeurders tegelijk gestuurd. Wens is dat zowel de financiële administratie als de ‘0-euro’ goedkeurder een specifieke goedkeurder kunnen selecteren. In dat geval ziet alleen de aangewezen goedkeurder de factuur.</w:t>
            </w:r>
          </w:p>
        </w:tc>
        <w:tc>
          <w:tcPr>
            <w:tcW w:w="1398" w:type="dxa"/>
            <w:tcMar/>
          </w:tcPr>
          <w:p w:rsidRPr="007E4AD9" w:rsidR="007E4AD9" w:rsidP="007E4AD9" w:rsidRDefault="007E4AD9" w14:paraId="30DEC771" w14:textId="77777777">
            <w:pPr>
              <w:rPr>
                <w:rFonts w:ascii="Calibri" w:hAnsi="Calibri" w:eastAsia="Times New Roman" w:cstheme="minorHAnsi"/>
                <w:lang w:eastAsia="nl-NL"/>
              </w:rPr>
            </w:pPr>
          </w:p>
        </w:tc>
      </w:tr>
      <w:tr w:rsidRPr="007E4AD9" w:rsidR="007E4AD9" w:rsidTr="5A06ED0D" w14:paraId="3D1AE35E" w14:textId="6D9600EE">
        <w:trPr>
          <w:trHeight w:val="570"/>
        </w:trPr>
        <w:tc>
          <w:tcPr>
            <w:tcW w:w="840" w:type="dxa"/>
            <w:noWrap/>
            <w:tcMar/>
            <w:hideMark/>
          </w:tcPr>
          <w:p w:rsidRPr="007E4AD9" w:rsidR="007E4AD9" w:rsidP="007E4AD9" w:rsidRDefault="007E4AD9" w14:paraId="7A005C1E" w14:textId="5681E447">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12</w:t>
            </w:r>
          </w:p>
        </w:tc>
        <w:tc>
          <w:tcPr>
            <w:tcW w:w="6824" w:type="dxa"/>
            <w:tcMar/>
            <w:hideMark/>
          </w:tcPr>
          <w:p w:rsidRPr="007E4AD9" w:rsidR="007E4AD9" w:rsidP="007E4AD9" w:rsidRDefault="007E4AD9" w14:paraId="7ADAF5F6" w14:textId="77777777">
            <w:pPr>
              <w:rPr>
                <w:rFonts w:ascii="Calibri" w:hAnsi="Calibri" w:eastAsia="Times New Roman" w:cs="Calibri"/>
                <w:lang w:eastAsia="nl-NL"/>
              </w:rPr>
            </w:pPr>
            <w:r w:rsidRPr="007E4AD9">
              <w:rPr>
                <w:rFonts w:ascii="Calibri" w:hAnsi="Calibri" w:eastAsia="Times New Roman" w:cstheme="minorHAnsi"/>
                <w:lang w:eastAsia="nl-NL"/>
              </w:rPr>
              <w:t>De goedkeurder kan in het goedkeurscherm filteren op de specifiek aan hem/haar toegewezen aanvragen/facturen.</w:t>
            </w:r>
          </w:p>
        </w:tc>
        <w:tc>
          <w:tcPr>
            <w:tcW w:w="1398" w:type="dxa"/>
            <w:tcMar/>
          </w:tcPr>
          <w:p w:rsidRPr="007E4AD9" w:rsidR="007E4AD9" w:rsidP="007E4AD9" w:rsidRDefault="007E4AD9" w14:paraId="2EAEA439" w14:textId="77777777">
            <w:pPr>
              <w:rPr>
                <w:rFonts w:ascii="Calibri" w:hAnsi="Calibri" w:eastAsia="Times New Roman" w:cstheme="minorHAnsi"/>
                <w:lang w:eastAsia="nl-NL"/>
              </w:rPr>
            </w:pPr>
          </w:p>
        </w:tc>
      </w:tr>
      <w:tr w:rsidRPr="007E4AD9" w:rsidR="007E4AD9" w:rsidTr="5A06ED0D" w14:paraId="11461B53" w14:textId="7CDED8A0">
        <w:trPr>
          <w:trHeight w:val="285"/>
        </w:trPr>
        <w:tc>
          <w:tcPr>
            <w:tcW w:w="840" w:type="dxa"/>
            <w:noWrap/>
            <w:tcMar/>
            <w:hideMark/>
          </w:tcPr>
          <w:p w:rsidRPr="007E4AD9" w:rsidR="007E4AD9" w:rsidP="007E4AD9" w:rsidRDefault="007E4AD9" w14:paraId="4B915082" w14:textId="5F12486C">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13</w:t>
            </w:r>
          </w:p>
        </w:tc>
        <w:tc>
          <w:tcPr>
            <w:tcW w:w="6824" w:type="dxa"/>
            <w:tcMar/>
            <w:hideMark/>
          </w:tcPr>
          <w:p w:rsidRPr="007E4AD9" w:rsidR="007E4AD9" w:rsidP="007E4AD9" w:rsidRDefault="007E4AD9" w14:paraId="20CA7062" w14:textId="77777777">
            <w:pPr>
              <w:rPr>
                <w:rFonts w:ascii="Calibri" w:hAnsi="Calibri" w:eastAsia="Times New Roman" w:cs="Calibri"/>
                <w:lang w:eastAsia="nl-NL"/>
              </w:rPr>
            </w:pPr>
            <w:r w:rsidRPr="007E4AD9">
              <w:rPr>
                <w:rFonts w:ascii="Calibri" w:hAnsi="Calibri" w:eastAsia="Times New Roman" w:cstheme="minorHAnsi"/>
                <w:lang w:eastAsia="nl-NL"/>
              </w:rPr>
              <w:t>Gebruikers kunnen in de P2P-applicatie zelf hun eigen dashboard configureren.</w:t>
            </w:r>
          </w:p>
        </w:tc>
        <w:tc>
          <w:tcPr>
            <w:tcW w:w="1398" w:type="dxa"/>
            <w:tcMar/>
          </w:tcPr>
          <w:p w:rsidRPr="007E4AD9" w:rsidR="007E4AD9" w:rsidP="007E4AD9" w:rsidRDefault="007E4AD9" w14:paraId="0C295BA1" w14:textId="77777777">
            <w:pPr>
              <w:rPr>
                <w:rFonts w:ascii="Calibri" w:hAnsi="Calibri" w:eastAsia="Times New Roman" w:cstheme="minorHAnsi"/>
                <w:lang w:eastAsia="nl-NL"/>
              </w:rPr>
            </w:pPr>
          </w:p>
        </w:tc>
      </w:tr>
      <w:tr w:rsidRPr="007E4AD9" w:rsidR="007E4AD9" w:rsidTr="5A06ED0D" w14:paraId="7FB9B14B" w14:textId="29ACD960">
        <w:trPr>
          <w:trHeight w:val="285"/>
        </w:trPr>
        <w:tc>
          <w:tcPr>
            <w:tcW w:w="840" w:type="dxa"/>
            <w:noWrap/>
            <w:tcMar/>
            <w:hideMark/>
          </w:tcPr>
          <w:p w:rsidRPr="007E4AD9" w:rsidR="007E4AD9" w:rsidP="007E4AD9" w:rsidRDefault="007E4AD9" w14:paraId="4992E9B6" w14:textId="2528E163">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14</w:t>
            </w:r>
          </w:p>
        </w:tc>
        <w:tc>
          <w:tcPr>
            <w:tcW w:w="6824" w:type="dxa"/>
            <w:tcMar/>
            <w:hideMark/>
          </w:tcPr>
          <w:p w:rsidRPr="007E4AD9" w:rsidR="007E4AD9" w:rsidP="007E4AD9" w:rsidRDefault="007E4AD9" w14:paraId="241CCB8D" w14:textId="77777777">
            <w:pPr>
              <w:rPr>
                <w:rFonts w:ascii="Calibri" w:hAnsi="Calibri" w:eastAsia="Times New Roman" w:cs="Calibri"/>
                <w:lang w:eastAsia="nl-NL"/>
              </w:rPr>
            </w:pPr>
            <w:r w:rsidRPr="007E4AD9">
              <w:rPr>
                <w:rFonts w:ascii="Calibri" w:hAnsi="Calibri" w:eastAsia="Times New Roman" w:cstheme="minorHAnsi"/>
                <w:lang w:eastAsia="nl-NL"/>
              </w:rPr>
              <w:t>Wijzigingen in rollen en rechten hebben zowel een directe als een geplande ingangsdatum.</w:t>
            </w:r>
          </w:p>
        </w:tc>
        <w:tc>
          <w:tcPr>
            <w:tcW w:w="1398" w:type="dxa"/>
            <w:tcMar/>
          </w:tcPr>
          <w:p w:rsidRPr="007E4AD9" w:rsidR="007E4AD9" w:rsidP="007E4AD9" w:rsidRDefault="007E4AD9" w14:paraId="671BFFF4" w14:textId="77777777">
            <w:pPr>
              <w:rPr>
                <w:rFonts w:ascii="Calibri" w:hAnsi="Calibri" w:eastAsia="Times New Roman" w:cstheme="minorHAnsi"/>
                <w:lang w:eastAsia="nl-NL"/>
              </w:rPr>
            </w:pPr>
          </w:p>
        </w:tc>
      </w:tr>
      <w:tr w:rsidRPr="007E4AD9" w:rsidR="007E4AD9" w:rsidTr="5A06ED0D" w14:paraId="077C9610" w14:textId="383729CE">
        <w:trPr>
          <w:trHeight w:val="1425"/>
        </w:trPr>
        <w:tc>
          <w:tcPr>
            <w:tcW w:w="840" w:type="dxa"/>
            <w:noWrap/>
            <w:tcMar/>
            <w:hideMark/>
          </w:tcPr>
          <w:p w:rsidRPr="007E4AD9" w:rsidR="007E4AD9" w:rsidP="007E4AD9" w:rsidRDefault="007E4AD9" w14:paraId="11D3789E" w14:textId="4A4A4DEE">
            <w:pPr>
              <w:spacing w:after="0" w:line="240" w:lineRule="auto"/>
              <w:jc w:val="right"/>
              <w:rPr>
                <w:rFonts w:ascii="Calibri" w:hAnsi="Calibri" w:eastAsia="Times New Roman" w:cs="Calibri"/>
                <w:lang w:eastAsia="nl-NL"/>
              </w:rPr>
            </w:pPr>
            <w:r>
              <w:rPr>
                <w:rFonts w:ascii="Calibri" w:hAnsi="Calibri" w:eastAsia="Times New Roman" w:cs="Calibri"/>
                <w:lang w:eastAsia="nl-NL"/>
              </w:rPr>
              <w:lastRenderedPageBreak/>
              <w:t>W.</w:t>
            </w:r>
            <w:r w:rsidRPr="007E4AD9">
              <w:rPr>
                <w:rFonts w:ascii="Calibri" w:hAnsi="Calibri" w:eastAsia="Times New Roman" w:cs="Calibri"/>
                <w:lang w:eastAsia="nl-NL"/>
              </w:rPr>
              <w:t>15</w:t>
            </w:r>
          </w:p>
        </w:tc>
        <w:tc>
          <w:tcPr>
            <w:tcW w:w="6824" w:type="dxa"/>
            <w:tcMar/>
            <w:hideMark/>
          </w:tcPr>
          <w:p w:rsidRPr="007E4AD9" w:rsidR="007E4AD9" w:rsidP="007E4AD9" w:rsidRDefault="007E4AD9" w14:paraId="78C70E4D" w14:textId="77777777">
            <w:pPr>
              <w:rPr>
                <w:rFonts w:ascii="Calibri" w:hAnsi="Calibri" w:eastAsia="Times New Roman" w:cs="Calibri"/>
                <w:lang w:eastAsia="nl-NL"/>
              </w:rPr>
            </w:pPr>
            <w:r w:rsidRPr="007E4AD9">
              <w:rPr>
                <w:rFonts w:ascii="Calibri" w:hAnsi="Calibri" w:eastAsia="Times New Roman" w:cstheme="minorHAnsi"/>
                <w:lang w:eastAsia="nl-NL"/>
              </w:rPr>
              <w:t>De applicatie biedt de mogelijkheid om een functionele goedkeuring in te richten. Hierbij is naast de standaard kostenplaats workflow een aanvullende goedkeuring nodig, gebaseerd op een Inkoopcategorie. Dit betekent dat een bepaalde combinatie van kostenplaats met een inkoopcategorie zorgt voor een extra, aanvullende goedkeuringsflow, naast de standaard goedkeuringsflow die hoort bij de betreffende kostenplaats.</w:t>
            </w:r>
          </w:p>
        </w:tc>
        <w:tc>
          <w:tcPr>
            <w:tcW w:w="1398" w:type="dxa"/>
            <w:tcMar/>
          </w:tcPr>
          <w:p w:rsidRPr="007E4AD9" w:rsidR="007E4AD9" w:rsidP="007E4AD9" w:rsidRDefault="007E4AD9" w14:paraId="374B8879" w14:textId="77777777">
            <w:pPr>
              <w:rPr>
                <w:rFonts w:ascii="Calibri" w:hAnsi="Calibri" w:eastAsia="Times New Roman" w:cstheme="minorHAnsi"/>
                <w:lang w:eastAsia="nl-NL"/>
              </w:rPr>
            </w:pPr>
          </w:p>
        </w:tc>
      </w:tr>
      <w:tr w:rsidRPr="007E4AD9" w:rsidR="007E4AD9" w:rsidTr="5A06ED0D" w14:paraId="3C98391B" w14:textId="67BF4C1E">
        <w:trPr>
          <w:trHeight w:val="570"/>
        </w:trPr>
        <w:tc>
          <w:tcPr>
            <w:tcW w:w="840" w:type="dxa"/>
            <w:noWrap/>
            <w:tcMar/>
            <w:hideMark/>
          </w:tcPr>
          <w:p w:rsidRPr="007E4AD9" w:rsidR="007E4AD9" w:rsidP="007E4AD9" w:rsidRDefault="007E4AD9" w14:paraId="5195A17A" w14:textId="5279D964">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16</w:t>
            </w:r>
          </w:p>
        </w:tc>
        <w:tc>
          <w:tcPr>
            <w:tcW w:w="6824" w:type="dxa"/>
            <w:tcMar/>
            <w:hideMark/>
          </w:tcPr>
          <w:p w:rsidRPr="007E4AD9" w:rsidR="007E4AD9" w:rsidP="007E4AD9" w:rsidRDefault="007E4AD9" w14:paraId="7460B1F7" w14:textId="77777777">
            <w:pPr>
              <w:rPr>
                <w:rFonts w:ascii="Calibri" w:hAnsi="Calibri" w:eastAsia="Times New Roman" w:cs="Calibri"/>
                <w:lang w:eastAsia="nl-NL"/>
              </w:rPr>
            </w:pPr>
            <w:r w:rsidRPr="007E4AD9">
              <w:rPr>
                <w:rFonts w:ascii="Calibri" w:hAnsi="Calibri" w:eastAsia="Times New Roman" w:cstheme="minorHAnsi"/>
                <w:lang w:eastAsia="nl-NL"/>
              </w:rPr>
              <w:t>Indien een medewerker of de functioneel beheerder een vervanger instelt, dient deze vervanger minimaal over dezelfde rechten in de procuratieregeling beschikken.</w:t>
            </w:r>
          </w:p>
        </w:tc>
        <w:tc>
          <w:tcPr>
            <w:tcW w:w="1398" w:type="dxa"/>
            <w:tcMar/>
          </w:tcPr>
          <w:p w:rsidRPr="007E4AD9" w:rsidR="007E4AD9" w:rsidP="007E4AD9" w:rsidRDefault="007E4AD9" w14:paraId="30D803A6" w14:textId="77777777">
            <w:pPr>
              <w:rPr>
                <w:rFonts w:ascii="Calibri" w:hAnsi="Calibri" w:eastAsia="Times New Roman" w:cstheme="minorHAnsi"/>
                <w:lang w:eastAsia="nl-NL"/>
              </w:rPr>
            </w:pPr>
          </w:p>
        </w:tc>
      </w:tr>
      <w:tr w:rsidRPr="007E4AD9" w:rsidR="007E4AD9" w:rsidTr="5A06ED0D" w14:paraId="42D951AE" w14:textId="6A10CE98">
        <w:trPr>
          <w:trHeight w:val="855"/>
        </w:trPr>
        <w:tc>
          <w:tcPr>
            <w:tcW w:w="840" w:type="dxa"/>
            <w:noWrap/>
            <w:tcMar/>
            <w:hideMark/>
          </w:tcPr>
          <w:p w:rsidRPr="007E4AD9" w:rsidR="007E4AD9" w:rsidP="007E4AD9" w:rsidRDefault="007E4AD9" w14:paraId="36D39BB3" w14:textId="378617BF">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17</w:t>
            </w:r>
          </w:p>
        </w:tc>
        <w:tc>
          <w:tcPr>
            <w:tcW w:w="6824" w:type="dxa"/>
            <w:tcMar/>
            <w:hideMark/>
          </w:tcPr>
          <w:p w:rsidRPr="007E4AD9" w:rsidR="007E4AD9" w:rsidP="007E4AD9" w:rsidRDefault="007E4AD9" w14:paraId="6F08E22A" w14:textId="77777777">
            <w:pPr>
              <w:rPr>
                <w:rFonts w:ascii="Calibri" w:hAnsi="Calibri" w:eastAsia="Times New Roman" w:cs="Calibri"/>
                <w:lang w:eastAsia="nl-NL"/>
              </w:rPr>
            </w:pPr>
            <w:r w:rsidRPr="007E4AD9">
              <w:rPr>
                <w:rFonts w:ascii="Times New Roman" w:hAnsi="Times New Roman" w:eastAsia="Times New Roman" w:cs="Times New Roman"/>
                <w:sz w:val="14"/>
                <w:szCs w:val="14"/>
                <w:lang w:eastAsia="nl-NL"/>
              </w:rPr>
              <w:t xml:space="preserve"> </w:t>
            </w:r>
            <w:r w:rsidRPr="007E4AD9">
              <w:rPr>
                <w:rFonts w:ascii="Calibri" w:hAnsi="Calibri" w:eastAsia="Times New Roman" w:cs="Calibri"/>
                <w:lang w:eastAsia="nl-NL"/>
              </w:rPr>
              <w:t xml:space="preserve">Goedkeuringsflows: het is mogelijk om een workflow zo in te richten dat de ‘0-euro’ goedkeurder kan bepalen een tussenliggende goedkeurder over te slaan en direct naar een hoger gelegen goedkeurder te sturen.  </w:t>
            </w:r>
          </w:p>
        </w:tc>
        <w:tc>
          <w:tcPr>
            <w:tcW w:w="1398" w:type="dxa"/>
            <w:tcMar/>
          </w:tcPr>
          <w:p w:rsidRPr="007E4AD9" w:rsidR="007E4AD9" w:rsidP="007E4AD9" w:rsidRDefault="007E4AD9" w14:paraId="21D28E83" w14:textId="77777777">
            <w:pPr>
              <w:rPr>
                <w:rFonts w:ascii="Times New Roman" w:hAnsi="Times New Roman" w:eastAsia="Times New Roman" w:cs="Times New Roman"/>
                <w:sz w:val="14"/>
                <w:szCs w:val="14"/>
                <w:lang w:eastAsia="nl-NL"/>
              </w:rPr>
            </w:pPr>
          </w:p>
        </w:tc>
      </w:tr>
      <w:tr w:rsidRPr="007E4AD9" w:rsidR="007E4AD9" w:rsidTr="5A06ED0D" w14:paraId="2B861B44" w14:textId="25B203A5">
        <w:trPr>
          <w:trHeight w:val="855"/>
        </w:trPr>
        <w:tc>
          <w:tcPr>
            <w:tcW w:w="840" w:type="dxa"/>
            <w:noWrap/>
            <w:tcMar/>
            <w:hideMark/>
          </w:tcPr>
          <w:p w:rsidRPr="007E4AD9" w:rsidR="007E4AD9" w:rsidP="007E4AD9" w:rsidRDefault="007E4AD9" w14:paraId="261F53C2" w14:textId="5F573E26">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18</w:t>
            </w:r>
          </w:p>
        </w:tc>
        <w:tc>
          <w:tcPr>
            <w:tcW w:w="6824" w:type="dxa"/>
            <w:tcMar/>
            <w:hideMark/>
          </w:tcPr>
          <w:p w:rsidRPr="007E4AD9" w:rsidR="007E4AD9" w:rsidP="007E4AD9" w:rsidRDefault="007E4AD9" w14:paraId="1ADD0143" w14:textId="77777777">
            <w:pPr>
              <w:rPr>
                <w:rFonts w:ascii="Calibri" w:hAnsi="Calibri" w:eastAsia="Times New Roman" w:cs="Calibri"/>
                <w:lang w:eastAsia="nl-NL"/>
              </w:rPr>
            </w:pPr>
            <w:r w:rsidRPr="007E4AD9">
              <w:rPr>
                <w:rFonts w:ascii="Times New Roman" w:hAnsi="Times New Roman" w:eastAsia="Times New Roman" w:cs="Times New Roman"/>
                <w:sz w:val="14"/>
                <w:szCs w:val="14"/>
                <w:lang w:eastAsia="nl-NL"/>
              </w:rPr>
              <w:t xml:space="preserve"> </w:t>
            </w:r>
            <w:r w:rsidRPr="007E4AD9">
              <w:rPr>
                <w:rFonts w:ascii="Calibri" w:hAnsi="Calibri" w:eastAsia="Times New Roman" w:cs="Calibri"/>
                <w:lang w:eastAsia="nl-NL"/>
              </w:rPr>
              <w:t>De P2P-applicatie biedt de mogelijkheid om een standaard kostensoort toe te kennen aan Non PO-facturen van leveranciers. De financiële administratie heeft de mogelijkheid om dit voorstel te overrulen.</w:t>
            </w:r>
          </w:p>
        </w:tc>
        <w:tc>
          <w:tcPr>
            <w:tcW w:w="1398" w:type="dxa"/>
            <w:tcMar/>
          </w:tcPr>
          <w:p w:rsidRPr="007E4AD9" w:rsidR="007E4AD9" w:rsidP="007E4AD9" w:rsidRDefault="007E4AD9" w14:paraId="3942926E" w14:textId="77777777">
            <w:pPr>
              <w:rPr>
                <w:rFonts w:ascii="Times New Roman" w:hAnsi="Times New Roman" w:eastAsia="Times New Roman" w:cs="Times New Roman"/>
                <w:sz w:val="14"/>
                <w:szCs w:val="14"/>
                <w:lang w:eastAsia="nl-NL"/>
              </w:rPr>
            </w:pPr>
          </w:p>
        </w:tc>
      </w:tr>
      <w:tr w:rsidRPr="007E4AD9" w:rsidR="007E4AD9" w:rsidTr="5A06ED0D" w14:paraId="6ECBEAE5" w14:textId="49F8565C">
        <w:trPr>
          <w:trHeight w:val="570"/>
        </w:trPr>
        <w:tc>
          <w:tcPr>
            <w:tcW w:w="840" w:type="dxa"/>
            <w:noWrap/>
            <w:tcMar/>
            <w:hideMark/>
          </w:tcPr>
          <w:p w:rsidRPr="007E4AD9" w:rsidR="007E4AD9" w:rsidP="007E4AD9" w:rsidRDefault="007E4AD9" w14:paraId="52D0D4D2" w14:textId="3A44FC08">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19</w:t>
            </w:r>
          </w:p>
        </w:tc>
        <w:tc>
          <w:tcPr>
            <w:tcW w:w="6824" w:type="dxa"/>
            <w:tcMar/>
            <w:hideMark/>
          </w:tcPr>
          <w:p w:rsidRPr="007E4AD9" w:rsidR="007E4AD9" w:rsidP="007E4AD9" w:rsidRDefault="007E4AD9" w14:paraId="30816351" w14:textId="77777777">
            <w:pPr>
              <w:rPr>
                <w:rFonts w:ascii="Calibri" w:hAnsi="Calibri" w:eastAsia="Times New Roman" w:cs="Calibri"/>
                <w:lang w:eastAsia="nl-NL"/>
              </w:rPr>
            </w:pPr>
            <w:r w:rsidRPr="007E4AD9">
              <w:rPr>
                <w:rFonts w:ascii="Times New Roman" w:hAnsi="Times New Roman" w:eastAsia="Times New Roman" w:cs="Times New Roman"/>
                <w:sz w:val="14"/>
                <w:szCs w:val="14"/>
                <w:lang w:eastAsia="nl-NL"/>
              </w:rPr>
              <w:t xml:space="preserve"> </w:t>
            </w:r>
            <w:r w:rsidRPr="007E4AD9">
              <w:rPr>
                <w:rFonts w:ascii="Calibri" w:hAnsi="Calibri" w:eastAsia="Times New Roman" w:cs="Calibri"/>
                <w:lang w:eastAsia="nl-NL"/>
              </w:rPr>
              <w:t xml:space="preserve">Aan een inkoopcategorie kunnen standaard grootboekrekeningen gekoppeld worden voor het maken van een bestelaanvraag. Daarbij is aan te geven wat de default grootboekrekening is.  </w:t>
            </w:r>
          </w:p>
        </w:tc>
        <w:tc>
          <w:tcPr>
            <w:tcW w:w="1398" w:type="dxa"/>
            <w:tcMar/>
          </w:tcPr>
          <w:p w:rsidRPr="007E4AD9" w:rsidR="007E4AD9" w:rsidP="007E4AD9" w:rsidRDefault="007E4AD9" w14:paraId="5715DD70" w14:textId="77777777">
            <w:pPr>
              <w:rPr>
                <w:rFonts w:ascii="Times New Roman" w:hAnsi="Times New Roman" w:eastAsia="Times New Roman" w:cs="Times New Roman"/>
                <w:sz w:val="14"/>
                <w:szCs w:val="14"/>
                <w:lang w:eastAsia="nl-NL"/>
              </w:rPr>
            </w:pPr>
          </w:p>
        </w:tc>
      </w:tr>
      <w:tr w:rsidRPr="007E4AD9" w:rsidR="007E4AD9" w:rsidTr="5A06ED0D" w14:paraId="3EC9D774" w14:textId="7CDCFF9B">
        <w:trPr>
          <w:trHeight w:val="285"/>
        </w:trPr>
        <w:tc>
          <w:tcPr>
            <w:tcW w:w="840" w:type="dxa"/>
            <w:noWrap/>
            <w:tcMar/>
            <w:hideMark/>
          </w:tcPr>
          <w:p w:rsidRPr="007E4AD9" w:rsidR="007E4AD9" w:rsidP="007E4AD9" w:rsidRDefault="007E4AD9" w14:paraId="1FFF568B" w14:textId="38AEB8A3">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20</w:t>
            </w:r>
          </w:p>
        </w:tc>
        <w:tc>
          <w:tcPr>
            <w:tcW w:w="6824" w:type="dxa"/>
            <w:tcMar/>
            <w:hideMark/>
          </w:tcPr>
          <w:p w:rsidRPr="007E4AD9" w:rsidR="007E4AD9" w:rsidP="007E4AD9" w:rsidRDefault="007E4AD9" w14:paraId="21A7D602" w14:textId="77777777">
            <w:pPr>
              <w:rPr>
                <w:rFonts w:ascii="Calibri" w:hAnsi="Calibri" w:eastAsia="Times New Roman" w:cs="Calibri"/>
                <w:lang w:eastAsia="nl-NL"/>
              </w:rPr>
            </w:pPr>
            <w:r w:rsidRPr="007E4AD9">
              <w:rPr>
                <w:rFonts w:ascii="Calibri" w:hAnsi="Calibri" w:eastAsia="Times New Roman" w:cs="Calibri"/>
                <w:lang w:eastAsia="nl-NL"/>
              </w:rPr>
              <w:t>De besteller kan de grootboekrekening wijzigen (overrulen).</w:t>
            </w:r>
          </w:p>
        </w:tc>
        <w:tc>
          <w:tcPr>
            <w:tcW w:w="1398" w:type="dxa"/>
            <w:tcMar/>
          </w:tcPr>
          <w:p w:rsidRPr="007E4AD9" w:rsidR="007E4AD9" w:rsidP="007E4AD9" w:rsidRDefault="007E4AD9" w14:paraId="4546C90E" w14:textId="77777777">
            <w:pPr>
              <w:rPr>
                <w:rFonts w:ascii="Calibri" w:hAnsi="Calibri" w:eastAsia="Times New Roman" w:cs="Calibri"/>
                <w:lang w:eastAsia="nl-NL"/>
              </w:rPr>
            </w:pPr>
          </w:p>
        </w:tc>
      </w:tr>
      <w:tr w:rsidRPr="007E4AD9" w:rsidR="007E4AD9" w:rsidTr="5A06ED0D" w14:paraId="390826F3" w14:textId="479BFFB8">
        <w:trPr>
          <w:trHeight w:val="37"/>
        </w:trPr>
        <w:tc>
          <w:tcPr>
            <w:tcW w:w="840" w:type="dxa"/>
            <w:noWrap/>
            <w:tcMar/>
            <w:hideMark/>
          </w:tcPr>
          <w:p w:rsidRPr="007E4AD9" w:rsidR="007E4AD9" w:rsidP="007E4AD9" w:rsidRDefault="007E4AD9" w14:paraId="605B56FA" w14:textId="43673915">
            <w:pPr>
              <w:spacing w:after="0" w:line="240" w:lineRule="auto"/>
              <w:jc w:val="right"/>
              <w:rPr>
                <w:rFonts w:ascii="Calibri" w:hAnsi="Calibri" w:eastAsia="Times New Roman" w:cs="Calibri"/>
                <w:lang w:eastAsia="nl-NL"/>
              </w:rPr>
            </w:pPr>
            <w:r>
              <w:rPr>
                <w:rFonts w:ascii="Calibri" w:hAnsi="Calibri" w:eastAsia="Times New Roman" w:cs="Calibri"/>
                <w:lang w:eastAsia="nl-NL"/>
              </w:rPr>
              <w:t>W.</w:t>
            </w:r>
            <w:r w:rsidRPr="007E4AD9">
              <w:rPr>
                <w:rFonts w:ascii="Calibri" w:hAnsi="Calibri" w:eastAsia="Times New Roman" w:cs="Calibri"/>
                <w:lang w:eastAsia="nl-NL"/>
              </w:rPr>
              <w:t>21</w:t>
            </w:r>
          </w:p>
        </w:tc>
        <w:tc>
          <w:tcPr>
            <w:tcW w:w="6824" w:type="dxa"/>
            <w:tcMar/>
            <w:hideMark/>
          </w:tcPr>
          <w:p w:rsidRPr="007E4AD9" w:rsidR="007E4AD9" w:rsidP="007E4AD9" w:rsidRDefault="007E4AD9" w14:paraId="2B24ACDB" w14:textId="74320746">
            <w:pPr>
              <w:rPr>
                <w:rFonts w:ascii="Calibri" w:hAnsi="Calibri" w:eastAsia="Times New Roman" w:cs="Calibri"/>
                <w:lang w:eastAsia="nl-NL"/>
              </w:rPr>
            </w:pPr>
            <w:r w:rsidRPr="5A06ED0D" w:rsidR="007E4AD9">
              <w:rPr>
                <w:rFonts w:ascii="Calibri" w:hAnsi="Calibri" w:eastAsia="Times New Roman" w:cs="Calibri" w:cstheme="minorAscii"/>
                <w:lang w:eastAsia="nl-NL"/>
              </w:rPr>
              <w:t xml:space="preserve">Per administratie is het mogelijk in te richten dat alleen een aparte </w:t>
            </w:r>
            <w:bookmarkStart w:name="_Int_eLgjXLAv" w:id="619028365"/>
            <w:r w:rsidRPr="5A06ED0D" w:rsidR="007E4AD9">
              <w:rPr>
                <w:rFonts w:ascii="Calibri" w:hAnsi="Calibri" w:eastAsia="Times New Roman" w:cs="Calibri" w:cstheme="minorAscii"/>
                <w:lang w:eastAsia="nl-NL"/>
              </w:rPr>
              <w:t xml:space="preserve">set </w:t>
            </w:r>
            <w:r w:rsidRPr="5A06ED0D" w:rsidR="007E4AD9">
              <w:rPr>
                <w:rFonts w:ascii="Calibri" w:hAnsi="Calibri" w:eastAsia="Times New Roman" w:cs="Calibri"/>
                <w:lang w:eastAsia="nl-NL"/>
              </w:rPr>
              <w:t>crediteuren</w:t>
            </w:r>
            <w:bookmarkEnd w:id="619028365"/>
            <w:r w:rsidRPr="5A06ED0D" w:rsidR="007E4AD9">
              <w:rPr>
                <w:rFonts w:ascii="Calibri" w:hAnsi="Calibri" w:eastAsia="Times New Roman" w:cs="Calibri"/>
                <w:lang w:eastAsia="nl-NL"/>
              </w:rPr>
              <w:t>/</w:t>
            </w:r>
            <w:r w:rsidRPr="5A06ED0D" w:rsidR="007E4AD9">
              <w:rPr>
                <w:rFonts w:ascii="Calibri" w:hAnsi="Calibri" w:eastAsia="Times New Roman" w:cs="Calibri"/>
                <w:lang w:eastAsia="nl-NL"/>
              </w:rPr>
              <w:t xml:space="preserve"> leveranciers gebruikt kan worden.</w:t>
            </w:r>
          </w:p>
        </w:tc>
        <w:tc>
          <w:tcPr>
            <w:tcW w:w="1398" w:type="dxa"/>
            <w:tcMar/>
          </w:tcPr>
          <w:p w:rsidRPr="007E4AD9" w:rsidR="007E4AD9" w:rsidP="007E4AD9" w:rsidRDefault="007E4AD9" w14:paraId="46AE0352" w14:textId="77777777">
            <w:pPr>
              <w:rPr>
                <w:rFonts w:ascii="Calibri" w:hAnsi="Calibri" w:eastAsia="Times New Roman" w:cstheme="minorHAnsi"/>
                <w:lang w:eastAsia="nl-NL"/>
              </w:rPr>
            </w:pPr>
          </w:p>
        </w:tc>
      </w:tr>
    </w:tbl>
    <w:p w:rsidR="00FA196C" w:rsidP="007E4AD9" w:rsidRDefault="00FA196C" w14:paraId="6395942E" w14:textId="77C3D2F2"/>
    <w:sectPr w:rsidR="00FA196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eLgjXLAv" int2:invalidationBookmarkName="" int2:hashCode="yRzDowb/QZbMZC" int2:id="kZqHwlJE">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DB6472"/>
    <w:multiLevelType w:val="hybridMultilevel"/>
    <w:tmpl w:val="C9A66440"/>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166500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AD9"/>
    <w:rsid w:val="002508E4"/>
    <w:rsid w:val="002E77AF"/>
    <w:rsid w:val="007E4AD9"/>
    <w:rsid w:val="00EC50EC"/>
    <w:rsid w:val="00FA196C"/>
    <w:rsid w:val="24D7ABC1"/>
    <w:rsid w:val="534468F3"/>
    <w:rsid w:val="586B1CAC"/>
    <w:rsid w:val="5A06ED0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95FC9"/>
  <w15:chartTrackingRefBased/>
  <w15:docId w15:val="{021B9491-17AC-4842-8163-728E05B59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7E4AD9"/>
    <w:pPr>
      <w:keepNext/>
      <w:keepLines/>
      <w:spacing w:before="240" w:after="0" w:line="240" w:lineRule="auto"/>
      <w:outlineLvl w:val="0"/>
    </w:pPr>
    <w:rPr>
      <w:rFonts w:asciiTheme="majorHAnsi" w:hAnsiTheme="majorHAnsi" w:eastAsiaTheme="majorEastAsia" w:cstheme="majorBidi"/>
      <w:color w:val="2F5496" w:themeColor="accent1" w:themeShade="BF"/>
      <w:sz w:val="32"/>
      <w:szCs w:val="32"/>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E4AD9"/>
    <w:rPr>
      <w:rFonts w:asciiTheme="majorHAnsi" w:hAnsiTheme="majorHAnsi" w:eastAsiaTheme="majorEastAsia" w:cstheme="majorBidi"/>
      <w:color w:val="2F5496" w:themeColor="accent1" w:themeShade="BF"/>
      <w:sz w:val="32"/>
      <w:szCs w:val="32"/>
      <w:lang w:eastAsia="nl-NL"/>
    </w:rPr>
  </w:style>
  <w:style w:type="paragraph" w:styleId="Lijstalinea">
    <w:name w:val="List Paragraph"/>
    <w:basedOn w:val="Standaard"/>
    <w:uiPriority w:val="1"/>
    <w:qFormat/>
    <w:rsid w:val="007E4AD9"/>
    <w:pPr>
      <w:spacing w:after="0" w:line="240" w:lineRule="auto"/>
      <w:ind w:left="720"/>
      <w:contextualSpacing/>
    </w:pPr>
  </w:style>
  <w:style w:type="character" w:styleId="Verwijzingopmerking">
    <w:name w:val="annotation reference"/>
    <w:basedOn w:val="Standaardalinea-lettertype"/>
    <w:uiPriority w:val="99"/>
    <w:semiHidden/>
    <w:unhideWhenUsed/>
    <w:rsid w:val="007E4AD9"/>
    <w:rPr>
      <w:sz w:val="16"/>
      <w:szCs w:val="16"/>
    </w:rPr>
  </w:style>
  <w:style w:type="paragraph" w:styleId="Tekstopmerking">
    <w:name w:val="annotation text"/>
    <w:basedOn w:val="Standaard"/>
    <w:link w:val="TekstopmerkingChar"/>
    <w:uiPriority w:val="99"/>
    <w:unhideWhenUsed/>
    <w:rsid w:val="007E4AD9"/>
    <w:pPr>
      <w:spacing w:after="0" w:line="240" w:lineRule="auto"/>
    </w:pPr>
    <w:rPr>
      <w:rFonts w:ascii="Calibri" w:hAnsi="Calibri" w:cs="Calibri"/>
      <w:sz w:val="20"/>
      <w:szCs w:val="20"/>
      <w:lang w:eastAsia="nl-NL"/>
    </w:rPr>
  </w:style>
  <w:style w:type="character" w:styleId="TekstopmerkingChar" w:customStyle="1">
    <w:name w:val="Tekst opmerking Char"/>
    <w:basedOn w:val="Standaardalinea-lettertype"/>
    <w:link w:val="Tekstopmerking"/>
    <w:uiPriority w:val="99"/>
    <w:rsid w:val="007E4AD9"/>
    <w:rPr>
      <w:rFonts w:ascii="Calibri" w:hAnsi="Calibri" w:cs="Calibri"/>
      <w:sz w:val="20"/>
      <w:szCs w:val="20"/>
      <w:lang w:eastAsia="nl-NL"/>
    </w:rPr>
  </w:style>
  <w:style w:type="table" w:styleId="Tabelraster">
    <w:name w:val="Table Grid"/>
    <w:basedOn w:val="Standaardtabel"/>
    <w:uiPriority w:val="39"/>
    <w:rsid w:val="007E4AD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399025">
      <w:bodyDiv w:val="1"/>
      <w:marLeft w:val="0"/>
      <w:marRight w:val="0"/>
      <w:marTop w:val="0"/>
      <w:marBottom w:val="0"/>
      <w:divBdr>
        <w:top w:val="none" w:sz="0" w:space="0" w:color="auto"/>
        <w:left w:val="none" w:sz="0" w:space="0" w:color="auto"/>
        <w:bottom w:val="none" w:sz="0" w:space="0" w:color="auto"/>
        <w:right w:val="none" w:sz="0" w:space="0" w:color="auto"/>
      </w:divBdr>
    </w:div>
    <w:div w:id="2055229848">
      <w:bodyDiv w:val="1"/>
      <w:marLeft w:val="0"/>
      <w:marRight w:val="0"/>
      <w:marTop w:val="0"/>
      <w:marBottom w:val="0"/>
      <w:divBdr>
        <w:top w:val="none" w:sz="0" w:space="0" w:color="auto"/>
        <w:left w:val="none" w:sz="0" w:space="0" w:color="auto"/>
        <w:bottom w:val="none" w:sz="0" w:space="0" w:color="auto"/>
        <w:right w:val="none" w:sz="0" w:space="0" w:color="auto"/>
      </w:divBdr>
    </w:div>
    <w:div w:id="207993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20/10/relationships/intelligence" Target="intelligence2.xml" Id="Re2c9d93adc5e4798"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E8ECBA42F12946A682C944A3DA4E3F" ma:contentTypeVersion="2" ma:contentTypeDescription="Een nieuw document maken." ma:contentTypeScope="" ma:versionID="cb4d04a26ab822a1ed3ef339c20f31e8">
  <xsd:schema xmlns:xsd="http://www.w3.org/2001/XMLSchema" xmlns:xs="http://www.w3.org/2001/XMLSchema" xmlns:p="http://schemas.microsoft.com/office/2006/metadata/properties" xmlns:ns2="b06119af-0824-40b4-9b66-7c8588313590" targetNamespace="http://schemas.microsoft.com/office/2006/metadata/properties" ma:root="true" ma:fieldsID="0a67bc6ee780ded3f907b885967d6490" ns2:_="">
    <xsd:import namespace="b06119af-0824-40b4-9b66-7c858831359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6119af-0824-40b4-9b66-7c8588313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DE1A8E-A1E0-4E72-97DB-7352CC479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6119af-0824-40b4-9b66-7c8588313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5D7B8-ACC4-47F1-9790-3CCE6F2220BE}">
  <ds:schemaRefs>
    <ds:schemaRef ds:uri="http://schemas.microsoft.com/sharepoint/v3/contenttype/forms"/>
  </ds:schemaRefs>
</ds:datastoreItem>
</file>

<file path=customXml/itemProps3.xml><?xml version="1.0" encoding="utf-8"?>
<ds:datastoreItem xmlns:ds="http://schemas.openxmlformats.org/officeDocument/2006/customXml" ds:itemID="{7ED2EAF8-7B55-4449-824A-55410EA3889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Esmee Segond von Banchet | P2P &amp; Verder</dc:creator>
  <keywords/>
  <dc:description/>
  <lastModifiedBy>Önal, A. (Aynur)</lastModifiedBy>
  <revision>3</revision>
  <dcterms:created xsi:type="dcterms:W3CDTF">2023-02-14T10:34:00.0000000Z</dcterms:created>
  <dcterms:modified xsi:type="dcterms:W3CDTF">2023-02-14T13:09:37.3733392Z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0x0101004EE8ECBA42F12946A682C944A3DA4E3F</vt:lpwstr>
  </property>
</Properties>
</file>