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A0976" w14:textId="0022FAB3" w:rsidR="00311904" w:rsidRPr="00311904" w:rsidRDefault="00311904" w:rsidP="00311904">
      <w:pPr>
        <w:spacing w:before="480" w:line="276" w:lineRule="auto"/>
        <w:contextualSpacing/>
        <w:outlineLvl w:val="0"/>
        <w:rPr>
          <w:rFonts w:ascii="Calibri" w:eastAsiaTheme="majorEastAsia" w:hAnsi="Calibri" w:cs="Calibri"/>
          <w:b/>
          <w:bCs/>
          <w:szCs w:val="20"/>
        </w:rPr>
      </w:pPr>
      <w:bookmarkStart w:id="0" w:name="_Toc329006086"/>
      <w:bookmarkStart w:id="1" w:name="_Toc339544203"/>
      <w:bookmarkStart w:id="2" w:name="_Toc23513273"/>
      <w:r w:rsidRPr="00311904">
        <w:rPr>
          <w:rFonts w:ascii="Calibri" w:eastAsiaTheme="majorEastAsia" w:hAnsi="Calibri" w:cs="Calibri"/>
          <w:b/>
          <w:bCs/>
          <w:szCs w:val="20"/>
        </w:rPr>
        <w:t xml:space="preserve">Bijlage </w:t>
      </w:r>
      <w:r w:rsidR="00147DC1">
        <w:rPr>
          <w:rFonts w:ascii="Calibri" w:eastAsiaTheme="majorEastAsia" w:hAnsi="Calibri" w:cs="Calibri"/>
          <w:b/>
          <w:bCs/>
          <w:szCs w:val="20"/>
        </w:rPr>
        <w:t>4</w:t>
      </w:r>
      <w:r>
        <w:rPr>
          <w:rFonts w:ascii="Calibri" w:eastAsiaTheme="majorEastAsia" w:hAnsi="Calibri" w:cs="Calibri"/>
          <w:b/>
          <w:bCs/>
          <w:szCs w:val="20"/>
        </w:rPr>
        <w:t xml:space="preserve"> </w:t>
      </w:r>
      <w:r w:rsidR="00147DC1">
        <w:rPr>
          <w:rFonts w:ascii="Calibri" w:eastAsiaTheme="majorEastAsia" w:hAnsi="Calibri" w:cs="Calibri"/>
          <w:b/>
          <w:bCs/>
          <w:szCs w:val="20"/>
        </w:rPr>
        <w:t>–</w:t>
      </w:r>
      <w:r>
        <w:rPr>
          <w:rFonts w:ascii="Calibri" w:eastAsiaTheme="majorEastAsia" w:hAnsi="Calibri" w:cs="Calibri"/>
          <w:b/>
          <w:bCs/>
          <w:szCs w:val="20"/>
        </w:rPr>
        <w:t xml:space="preserve"> </w:t>
      </w:r>
      <w:proofErr w:type="spellStart"/>
      <w:r w:rsidR="00147DC1">
        <w:rPr>
          <w:rFonts w:ascii="Calibri" w:eastAsiaTheme="majorEastAsia" w:hAnsi="Calibri" w:cs="Calibri"/>
          <w:b/>
          <w:bCs/>
          <w:szCs w:val="20"/>
        </w:rPr>
        <w:t>Ingroeipad</w:t>
      </w:r>
      <w:proofErr w:type="spellEnd"/>
      <w:r w:rsidR="00147DC1">
        <w:rPr>
          <w:rFonts w:ascii="Calibri" w:eastAsiaTheme="majorEastAsia" w:hAnsi="Calibri" w:cs="Calibri"/>
          <w:b/>
          <w:bCs/>
          <w:szCs w:val="20"/>
        </w:rPr>
        <w:t xml:space="preserve"> </w:t>
      </w:r>
      <w:r w:rsidR="008A6DD8">
        <w:rPr>
          <w:rFonts w:ascii="Calibri" w:eastAsiaTheme="majorEastAsia" w:hAnsi="Calibri" w:cs="Calibri"/>
          <w:b/>
          <w:bCs/>
          <w:szCs w:val="20"/>
        </w:rPr>
        <w:t>Zero-emissie zone</w:t>
      </w:r>
      <w:r w:rsidR="00147DC1">
        <w:rPr>
          <w:rFonts w:ascii="Calibri" w:eastAsiaTheme="majorEastAsia" w:hAnsi="Calibri" w:cs="Calibri"/>
          <w:b/>
          <w:bCs/>
          <w:szCs w:val="20"/>
        </w:rPr>
        <w:t xml:space="preserve"> Tilburg</w:t>
      </w:r>
      <w:r>
        <w:rPr>
          <w:rFonts w:ascii="Calibri" w:eastAsiaTheme="majorEastAsia" w:hAnsi="Calibri" w:cs="Calibri"/>
          <w:b/>
          <w:bCs/>
          <w:szCs w:val="20"/>
        </w:rPr>
        <w:t xml:space="preserve"> </w:t>
      </w:r>
      <w:bookmarkEnd w:id="0"/>
      <w:bookmarkEnd w:id="1"/>
      <w:bookmarkEnd w:id="2"/>
    </w:p>
    <w:p w14:paraId="4C3EB608" w14:textId="77777777" w:rsidR="00311904" w:rsidRDefault="00311904" w:rsidP="00311904">
      <w:pPr>
        <w:spacing w:after="200" w:line="276" w:lineRule="auto"/>
        <w:rPr>
          <w:rFonts w:ascii="Calibri" w:eastAsiaTheme="minorEastAsia" w:hAnsi="Calibri" w:cs="Calibri"/>
          <w:szCs w:val="20"/>
        </w:rPr>
      </w:pPr>
    </w:p>
    <w:p w14:paraId="558224F1" w14:textId="77777777" w:rsidR="00147DC1" w:rsidRPr="00AD678F" w:rsidRDefault="00147DC1" w:rsidP="00147DC1">
      <w:pPr>
        <w:rPr>
          <w:b/>
          <w:bCs/>
          <w:i/>
          <w:iCs/>
        </w:rPr>
      </w:pPr>
      <w:r w:rsidRPr="00AD678F">
        <w:rPr>
          <w:b/>
          <w:bCs/>
          <w:i/>
          <w:iCs/>
        </w:rPr>
        <w:t>Milieuzone</w:t>
      </w:r>
    </w:p>
    <w:p w14:paraId="7CD01E32" w14:textId="1F3676D5" w:rsidR="00147DC1" w:rsidRDefault="00147DC1" w:rsidP="00147DC1">
      <w:r>
        <w:t xml:space="preserve">In Tilburg geldt binnen de Ringbanen een milieuzone voor </w:t>
      </w:r>
      <w:r w:rsidRPr="00711350">
        <w:rPr>
          <w:u w:val="single"/>
        </w:rPr>
        <w:t>diesel</w:t>
      </w:r>
      <w:r>
        <w:t xml:space="preserve">vrachtwagens (voertuigcategorie N2 en N3). Zij moeten tenminste voldoen aan emissieklasse 6. Er zijn echter uitzonderingen. Sommige voertuigen hoeven niet aan deze klasse te voldoen. Op </w:t>
      </w:r>
      <w:hyperlink r:id="rId7" w:history="1">
        <w:r w:rsidRPr="00741288">
          <w:rPr>
            <w:rStyle w:val="Hyperlink"/>
          </w:rPr>
          <w:t>www.milieuzones.nl/vrijstellingen-en-ontheffingen</w:t>
        </w:r>
      </w:hyperlink>
      <w:r w:rsidRPr="00195495">
        <w:t xml:space="preserve"> is informatie te vinden over de ontheffingen</w:t>
      </w:r>
      <w:r>
        <w:t xml:space="preserve"> en is een online kentekenchecker te vinden.</w:t>
      </w:r>
    </w:p>
    <w:p w14:paraId="57234C8A" w14:textId="77777777" w:rsidR="00147DC1" w:rsidRDefault="00147DC1" w:rsidP="00147DC1">
      <w:pPr>
        <w:rPr>
          <w:u w:val="single"/>
        </w:rPr>
      </w:pPr>
      <w:r>
        <w:t xml:space="preserve">Lokale ontheffingen zijn aan te vragen op </w:t>
      </w:r>
      <w:hyperlink r:id="rId8" w:history="1">
        <w:r w:rsidRPr="00741288">
          <w:rPr>
            <w:rStyle w:val="Hyperlink"/>
          </w:rPr>
          <w:t>www.tilburg.nl/ondernemers/milieu/ontheffing-milieuzone</w:t>
        </w:r>
      </w:hyperlink>
      <w:r w:rsidRPr="00195495">
        <w:t>.</w:t>
      </w:r>
    </w:p>
    <w:p w14:paraId="003C2506" w14:textId="77777777" w:rsidR="00147DC1" w:rsidRPr="00195495" w:rsidRDefault="00147DC1" w:rsidP="00147DC1"/>
    <w:p w14:paraId="1E651752" w14:textId="77777777" w:rsidR="00147DC1" w:rsidRPr="00F502B8" w:rsidRDefault="00147DC1" w:rsidP="00147DC1">
      <w:pPr>
        <w:rPr>
          <w:b/>
          <w:bCs/>
          <w:i/>
          <w:iCs/>
        </w:rPr>
      </w:pPr>
      <w:r w:rsidRPr="00F502B8">
        <w:rPr>
          <w:b/>
          <w:bCs/>
          <w:i/>
          <w:iCs/>
        </w:rPr>
        <w:t>Nul-emissiezone</w:t>
      </w:r>
    </w:p>
    <w:p w14:paraId="273C6ADA" w14:textId="1073794E" w:rsidR="00147DC1" w:rsidRDefault="00147DC1" w:rsidP="00147DC1">
      <w:r>
        <w:t xml:space="preserve">Per 1 januari 2025 gaat de milieuzone over in een nul-emissiezone (ook wel zero-emissiezone genoemd). Er gaan dan emissie-eisen gelden voor alle bestelvoertuigen en vrachtwagens (voertuigcategorieën N1, N2 en N3), ongeacht de brandstof. De eisen zijn op onderstaande </w:t>
      </w:r>
      <w:proofErr w:type="spellStart"/>
      <w:r>
        <w:t>infogra</w:t>
      </w:r>
      <w:r w:rsidR="001E2E51">
        <w:t>ph</w:t>
      </w:r>
      <w:r>
        <w:t>ic</w:t>
      </w:r>
      <w:proofErr w:type="spellEnd"/>
      <w:r>
        <w:t xml:space="preserve"> weergegeven.</w:t>
      </w:r>
    </w:p>
    <w:p w14:paraId="53DBE8B0" w14:textId="77777777" w:rsidR="00147DC1" w:rsidRDefault="00147DC1" w:rsidP="00147DC1"/>
    <w:p w14:paraId="367A8A52" w14:textId="77777777" w:rsidR="00147DC1" w:rsidRDefault="00147DC1" w:rsidP="00147DC1">
      <w:r w:rsidRPr="00440808">
        <w:rPr>
          <w:noProof/>
        </w:rPr>
        <w:drawing>
          <wp:inline distT="0" distB="0" distL="0" distR="0" wp14:anchorId="18BAC173" wp14:editId="4F9C23B4">
            <wp:extent cx="5759450" cy="406463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A882" w14:textId="77777777" w:rsidR="001E2E51" w:rsidRDefault="001E2E51" w:rsidP="00147DC1"/>
    <w:p w14:paraId="16193239" w14:textId="39014DA6" w:rsidR="00147DC1" w:rsidRDefault="00147DC1" w:rsidP="00147DC1">
      <w:r>
        <w:t>De eisen gelden landelijk, voor elke nul-emissiezone.</w:t>
      </w:r>
    </w:p>
    <w:p w14:paraId="5FA884A7" w14:textId="77777777" w:rsidR="00147DC1" w:rsidRDefault="00147DC1" w:rsidP="00147DC1">
      <w:r>
        <w:t xml:space="preserve">Op </w:t>
      </w:r>
      <w:hyperlink r:id="rId10" w:history="1">
        <w:r w:rsidRPr="00741288">
          <w:rPr>
            <w:rStyle w:val="Hyperlink"/>
          </w:rPr>
          <w:t>www.opwegnaarzes.nl</w:t>
        </w:r>
      </w:hyperlink>
      <w:r>
        <w:t xml:space="preserve"> is een kentekencheck te vinden of een voertuig toegelaten is binnen de zone.</w:t>
      </w:r>
    </w:p>
    <w:p w14:paraId="5EF5F39A" w14:textId="77777777" w:rsidR="00147DC1" w:rsidRPr="003168DB" w:rsidRDefault="00147DC1" w:rsidP="00147DC1">
      <w:pPr>
        <w:rPr>
          <w:u w:val="single"/>
        </w:rPr>
      </w:pPr>
      <w:r>
        <w:t xml:space="preserve">Speciaal gericht op bedrijven geeft </w:t>
      </w:r>
      <w:hyperlink r:id="rId11" w:history="1">
        <w:r w:rsidRPr="00741288">
          <w:rPr>
            <w:rStyle w:val="Hyperlink"/>
          </w:rPr>
          <w:t>www.doehetzero.nl</w:t>
        </w:r>
      </w:hyperlink>
      <w:r>
        <w:t xml:space="preserve"> meer informatie over de zone. (Site in ontwikkeling)</w:t>
      </w:r>
    </w:p>
    <w:p w14:paraId="1C8F3B3B" w14:textId="77777777" w:rsidR="00147DC1" w:rsidRDefault="00147DC1" w:rsidP="00147DC1">
      <w:r>
        <w:t xml:space="preserve">Voor de nul-emissiezone komen er vrijstellingen ontheffingen, vergelijkbaar als voor de milieuzone. </w:t>
      </w:r>
    </w:p>
    <w:p w14:paraId="3DE00992" w14:textId="77777777" w:rsidR="00147DC1" w:rsidRDefault="00147DC1" w:rsidP="00147DC1">
      <w:r>
        <w:t xml:space="preserve">Het aanvragen en verlenen van de vrijstellingen en ontheffingen zal via een Centraal Loket plaatsvinden. </w:t>
      </w:r>
    </w:p>
    <w:p w14:paraId="56DBF649" w14:textId="77777777" w:rsidR="00147DC1" w:rsidRDefault="00147DC1" w:rsidP="00147DC1">
      <w:r>
        <w:t>Zodra hier meer over bekend is, kan dat aan deze tekst toegevoegd worden.</w:t>
      </w:r>
    </w:p>
    <w:p w14:paraId="4F843CF7" w14:textId="77777777" w:rsidR="00147DC1" w:rsidRDefault="00147DC1" w:rsidP="00147DC1"/>
    <w:p w14:paraId="1F239F88" w14:textId="089BC975" w:rsidR="00147DC1" w:rsidRDefault="00147DC1" w:rsidP="00147DC1">
      <w:r>
        <w:t xml:space="preserve">De nul-emissiezone wordt (waarschijnlijk) groter dan de huidige milieuzone. De Ringbaan West en de Ringbaan Oost ten zuiden van de Spoorbrug én de wijken </w:t>
      </w:r>
      <w:proofErr w:type="spellStart"/>
      <w:r>
        <w:t>Armhoefse</w:t>
      </w:r>
      <w:proofErr w:type="spellEnd"/>
      <w:r>
        <w:t xml:space="preserve"> Akkers en Jeru</w:t>
      </w:r>
      <w:r w:rsidR="001E2E51">
        <w:t>z</w:t>
      </w:r>
      <w:r>
        <w:t>alem worden toegevoegd.</w:t>
      </w:r>
    </w:p>
    <w:p w14:paraId="34ABE90B" w14:textId="77777777" w:rsidR="00147DC1" w:rsidRDefault="00147DC1" w:rsidP="00147DC1">
      <w:r>
        <w:t xml:space="preserve">Het college van Burgemeester en wethouders van Tilburg neemt in 2023 een besluit over de definitieve ligging van de zone. In </w:t>
      </w:r>
      <w:r w:rsidRPr="00B32398">
        <w:rPr>
          <w:u w:val="single"/>
        </w:rPr>
        <w:t>concept</w:t>
      </w:r>
      <w:r>
        <w:t xml:space="preserve"> gaat het er als volgt uitzien:</w:t>
      </w:r>
    </w:p>
    <w:p w14:paraId="42180D28" w14:textId="77777777" w:rsidR="00147DC1" w:rsidRDefault="00147DC1" w:rsidP="00147DC1">
      <w:r>
        <w:rPr>
          <w:noProof/>
        </w:rPr>
        <w:lastRenderedPageBreak/>
        <w:drawing>
          <wp:inline distT="0" distB="0" distL="0" distR="0" wp14:anchorId="3412A2CF" wp14:editId="49FCA0B0">
            <wp:extent cx="4817745" cy="3594100"/>
            <wp:effectExtent l="0" t="0" r="1905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4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DA048" w14:textId="77777777" w:rsidR="00147DC1" w:rsidRDefault="00147DC1" w:rsidP="00147DC1"/>
    <w:p w14:paraId="21D9298E" w14:textId="77777777" w:rsidR="00F91A8A" w:rsidRPr="00BA1B56" w:rsidRDefault="00F91A8A" w:rsidP="00BA1B56"/>
    <w:sectPr w:rsidR="00F91A8A" w:rsidRPr="00BA1B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8172E" w14:textId="77777777" w:rsidR="00311904" w:rsidRDefault="00311904" w:rsidP="00F91A8A">
      <w:pPr>
        <w:spacing w:line="240" w:lineRule="auto"/>
      </w:pPr>
      <w:r>
        <w:separator/>
      </w:r>
    </w:p>
  </w:endnote>
  <w:endnote w:type="continuationSeparator" w:id="0">
    <w:p w14:paraId="3D776F78" w14:textId="77777777" w:rsidR="00311904" w:rsidRDefault="00311904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1681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11D0B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8371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C01DB" w14:textId="77777777" w:rsidR="00311904" w:rsidRDefault="00311904" w:rsidP="00F91A8A">
      <w:pPr>
        <w:spacing w:line="240" w:lineRule="auto"/>
      </w:pPr>
      <w:r>
        <w:separator/>
      </w:r>
    </w:p>
  </w:footnote>
  <w:footnote w:type="continuationSeparator" w:id="0">
    <w:p w14:paraId="3D1FD620" w14:textId="77777777" w:rsidR="00311904" w:rsidRDefault="00311904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9054F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2F2B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78B9" w14:textId="77777777" w:rsidR="00F91A8A" w:rsidRDefault="00F91A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4A2CA5"/>
    <w:multiLevelType w:val="hybridMultilevel"/>
    <w:tmpl w:val="F2BA5D8A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430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04"/>
    <w:rsid w:val="000E27D1"/>
    <w:rsid w:val="00147DC1"/>
    <w:rsid w:val="00183BFF"/>
    <w:rsid w:val="00186254"/>
    <w:rsid w:val="001E2E51"/>
    <w:rsid w:val="00311904"/>
    <w:rsid w:val="005355A5"/>
    <w:rsid w:val="0063599E"/>
    <w:rsid w:val="00747D8B"/>
    <w:rsid w:val="007A17D0"/>
    <w:rsid w:val="007D034A"/>
    <w:rsid w:val="008A6DD8"/>
    <w:rsid w:val="00A9425F"/>
    <w:rsid w:val="00BA1B56"/>
    <w:rsid w:val="00C4694D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FFE7"/>
  <w15:chartTrackingRefBased/>
  <w15:docId w15:val="{F3ED36F3-CC9C-4A99-89F8-815E61BA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Plattetekst">
    <w:name w:val="Body Text"/>
    <w:basedOn w:val="Standaard"/>
    <w:link w:val="PlattetekstChar"/>
    <w:uiPriority w:val="99"/>
    <w:unhideWhenUsed/>
    <w:rsid w:val="00311904"/>
    <w:pPr>
      <w:spacing w:after="120" w:line="276" w:lineRule="auto"/>
    </w:pPr>
    <w:rPr>
      <w:rFonts w:ascii="Arial" w:eastAsiaTheme="minorEastAsia" w:hAnsi="Arial" w:cs="Arial"/>
      <w:sz w:val="21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311904"/>
    <w:rPr>
      <w:rFonts w:ascii="Arial" w:eastAsiaTheme="minorEastAsia" w:hAnsi="Arial" w:cs="Arial"/>
      <w:sz w:val="21"/>
      <w:lang w:val="en-US"/>
    </w:rPr>
  </w:style>
  <w:style w:type="character" w:styleId="Hyperlink">
    <w:name w:val="Hyperlink"/>
    <w:basedOn w:val="Standaardalinea-lettertype"/>
    <w:uiPriority w:val="99"/>
    <w:unhideWhenUsed/>
    <w:rsid w:val="00147D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lburg.nl/ondernemers/milieu/ontheffing-milieuzon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ilieuzones.nl/vrijstellingen-en-ontheffingen" TargetMode="Externa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ehetzero.n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opwegnaarzes.n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Overeem, Rens</dc:creator>
  <cp:keywords/>
  <dc:description/>
  <cp:lastModifiedBy>Overeem, Rens</cp:lastModifiedBy>
  <cp:revision>3</cp:revision>
  <dcterms:created xsi:type="dcterms:W3CDTF">2023-04-19T15:16:00Z</dcterms:created>
  <dcterms:modified xsi:type="dcterms:W3CDTF">2023-04-19T15:16:00Z</dcterms:modified>
</cp:coreProperties>
</file>