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DC128A" w:rsidRPr="00DC128A">
        <w:rPr>
          <w:rFonts w:ascii="Arial" w:hAnsi="Arial" w:cs="Arial"/>
          <w:b/>
          <w:bCs/>
          <w:sz w:val="20"/>
          <w:szCs w:val="20"/>
        </w:rPr>
        <w:t>Onderhoudswerkzaamheden  aan de Vuilwaterafvoer en riolering</w:t>
      </w:r>
      <w:r w:rsidR="00DC128A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met kenmerk </w:t>
      </w:r>
      <w:r w:rsidR="00DC128A">
        <w:rPr>
          <w:rFonts w:ascii="Arial" w:hAnsi="Arial" w:cs="Arial"/>
          <w:b/>
          <w:bCs/>
          <w:sz w:val="20"/>
          <w:szCs w:val="20"/>
        </w:rPr>
        <w:t>2023-35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DC128A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D938075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Tahamata, Livio</cp:lastModifiedBy>
  <cp:revision>5</cp:revision>
  <dcterms:created xsi:type="dcterms:W3CDTF">2021-06-24T11:28:00Z</dcterms:created>
  <dcterms:modified xsi:type="dcterms:W3CDTF">2023-07-14T08:34:00Z</dcterms:modified>
</cp:coreProperties>
</file>