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A236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291DDC36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024CF1FD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69683D8E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430AA09B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2C69D551" w14:textId="77777777" w:rsidR="00ED0AFE" w:rsidRDefault="00ED0AFE" w:rsidP="008A7D4E">
      <w:pPr>
        <w:rPr>
          <w:rFonts w:asciiTheme="minorHAnsi" w:hAnsiTheme="minorHAnsi"/>
          <w:b/>
          <w:sz w:val="28"/>
        </w:rPr>
      </w:pPr>
    </w:p>
    <w:p w14:paraId="12186AA6" w14:textId="2D74D34D" w:rsidR="00ED0AFE" w:rsidRDefault="009377E0" w:rsidP="008A7D4E">
      <w:pPr>
        <w:jc w:val="center"/>
        <w:rPr>
          <w:rFonts w:asciiTheme="minorHAnsi" w:hAnsiTheme="minorHAnsi"/>
          <w:b/>
          <w:sz w:val="28"/>
        </w:rPr>
      </w:pPr>
      <w:r w:rsidRPr="003B13F5">
        <w:rPr>
          <w:rFonts w:asciiTheme="minorHAnsi" w:hAnsiTheme="minorHAnsi"/>
          <w:b/>
          <w:sz w:val="28"/>
        </w:rPr>
        <w:t>Overeenkomst</w:t>
      </w:r>
    </w:p>
    <w:p w14:paraId="3D7A4B95" w14:textId="6CE4DEEB" w:rsidR="00822052" w:rsidRPr="00F77C06" w:rsidRDefault="00F77C06" w:rsidP="008A7D4E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BHV app</w:t>
      </w:r>
    </w:p>
    <w:p w14:paraId="17313CAA" w14:textId="77777777" w:rsidR="00ED0AFE" w:rsidRDefault="00ED0AFE" w:rsidP="008A7D4E">
      <w:pPr>
        <w:jc w:val="center"/>
        <w:rPr>
          <w:rFonts w:asciiTheme="minorHAnsi" w:hAnsiTheme="minorHAnsi"/>
          <w:b/>
          <w:color w:val="FF0000"/>
          <w:sz w:val="28"/>
        </w:rPr>
      </w:pPr>
    </w:p>
    <w:p w14:paraId="5FB10D10" w14:textId="77777777" w:rsidR="00ED0AFE" w:rsidRDefault="00ED0AFE" w:rsidP="008A7D4E">
      <w:pPr>
        <w:jc w:val="center"/>
        <w:rPr>
          <w:rFonts w:asciiTheme="minorHAnsi" w:hAnsiTheme="minorHAnsi"/>
          <w:b/>
          <w:color w:val="FF0000"/>
          <w:sz w:val="28"/>
        </w:rPr>
      </w:pPr>
    </w:p>
    <w:p w14:paraId="438B37F4" w14:textId="70B46DCC" w:rsidR="00ED0AFE" w:rsidRPr="00317E88" w:rsidRDefault="00ED0AFE" w:rsidP="008A7D4E">
      <w:pPr>
        <w:jc w:val="center"/>
        <w:rPr>
          <w:rFonts w:asciiTheme="minorHAnsi" w:hAnsiTheme="minorHAnsi"/>
          <w:b/>
          <w:sz w:val="28"/>
        </w:rPr>
      </w:pPr>
      <w:r w:rsidRPr="00317E88">
        <w:rPr>
          <w:rFonts w:asciiTheme="minorHAnsi" w:hAnsiTheme="minorHAnsi"/>
          <w:b/>
          <w:sz w:val="28"/>
        </w:rPr>
        <w:t>Stichting ROC Midden Nederland</w:t>
      </w:r>
    </w:p>
    <w:p w14:paraId="777EE503" w14:textId="741FD7C8" w:rsidR="00ED0AFE" w:rsidRPr="003B13F5" w:rsidRDefault="00317E88" w:rsidP="008A7D4E">
      <w:pPr>
        <w:jc w:val="center"/>
        <w:rPr>
          <w:rFonts w:asciiTheme="minorHAnsi" w:hAnsiTheme="minorHAnsi"/>
          <w:b/>
          <w:color w:val="FF0000"/>
          <w:sz w:val="28"/>
        </w:rPr>
      </w:pPr>
      <w:r w:rsidRPr="00B27012">
        <w:rPr>
          <w:noProof/>
        </w:rPr>
        <w:drawing>
          <wp:inline distT="0" distB="0" distL="0" distR="0" wp14:anchorId="04A61A9B" wp14:editId="73576507">
            <wp:extent cx="2203939" cy="1207439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70" cy="120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FD36B" w14:textId="77777777" w:rsidR="00E37D17" w:rsidRPr="003B13F5" w:rsidRDefault="00E37D17" w:rsidP="008A7D4E">
      <w:pPr>
        <w:jc w:val="center"/>
        <w:rPr>
          <w:rFonts w:asciiTheme="minorHAnsi" w:hAnsiTheme="minorHAnsi"/>
          <w:b/>
        </w:rPr>
      </w:pPr>
    </w:p>
    <w:p w14:paraId="5052D5B2" w14:textId="77777777" w:rsidR="00D33E6F" w:rsidRDefault="00D33E6F" w:rsidP="008A7D4E">
      <w:pPr>
        <w:jc w:val="center"/>
        <w:rPr>
          <w:rFonts w:asciiTheme="minorHAnsi" w:hAnsiTheme="minorHAnsi"/>
          <w:b/>
        </w:rPr>
      </w:pPr>
    </w:p>
    <w:p w14:paraId="3FC6DE21" w14:textId="07CD34C7" w:rsidR="007F0889" w:rsidRDefault="007F0889" w:rsidP="008A7D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</w:t>
      </w:r>
    </w:p>
    <w:p w14:paraId="3DF217FC" w14:textId="77777777" w:rsidR="007F0889" w:rsidRDefault="007F0889" w:rsidP="008A7D4E">
      <w:pPr>
        <w:jc w:val="center"/>
        <w:rPr>
          <w:rFonts w:asciiTheme="minorHAnsi" w:hAnsiTheme="minorHAnsi"/>
          <w:b/>
        </w:rPr>
      </w:pPr>
    </w:p>
    <w:p w14:paraId="34A8BE91" w14:textId="77777777" w:rsidR="007F0889" w:rsidRDefault="007F0889" w:rsidP="008A7D4E">
      <w:pPr>
        <w:jc w:val="center"/>
        <w:rPr>
          <w:rFonts w:asciiTheme="minorHAnsi" w:hAnsiTheme="minorHAnsi"/>
          <w:b/>
        </w:rPr>
      </w:pPr>
    </w:p>
    <w:p w14:paraId="46F890CC" w14:textId="16A0F09E" w:rsidR="007F0889" w:rsidRDefault="007F0889" w:rsidP="008A7D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[naam opdrachtnemer]</w:t>
      </w:r>
    </w:p>
    <w:p w14:paraId="04A1A27F" w14:textId="0D34EC43" w:rsidR="007F0889" w:rsidRPr="003B13F5" w:rsidRDefault="007F0889" w:rsidP="008A7D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[logo opdrachtnemer]</w:t>
      </w:r>
    </w:p>
    <w:p w14:paraId="55C8D63C" w14:textId="77777777" w:rsidR="00ED0AFE" w:rsidRDefault="00ED0AFE" w:rsidP="008A7D4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7E3DB91" w14:textId="6F4F71AC" w:rsidR="009377E0" w:rsidRPr="003B13F5" w:rsidRDefault="009377E0" w:rsidP="008A7D4E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lastRenderedPageBreak/>
        <w:t>De ondergetekenden:</w:t>
      </w:r>
    </w:p>
    <w:p w14:paraId="4B6AF3DC" w14:textId="77777777" w:rsidR="009377E0" w:rsidRPr="003B13F5" w:rsidRDefault="009377E0" w:rsidP="008A7D4E">
      <w:pPr>
        <w:rPr>
          <w:rFonts w:asciiTheme="minorHAnsi" w:hAnsiTheme="minorHAnsi"/>
        </w:rPr>
      </w:pPr>
    </w:p>
    <w:p w14:paraId="611A22E0" w14:textId="6B41F052" w:rsidR="009377E0" w:rsidRPr="008004F3" w:rsidRDefault="00747FC6" w:rsidP="008A7D4E">
      <w:pPr>
        <w:rPr>
          <w:rFonts w:asciiTheme="minorHAnsi" w:hAnsiTheme="minorHAnsi"/>
        </w:rPr>
      </w:pPr>
      <w:r w:rsidRPr="008004F3">
        <w:rPr>
          <w:rFonts w:asciiTheme="minorHAnsi" w:hAnsiTheme="minorHAnsi"/>
        </w:rPr>
        <w:t>Stichting ROC Midden Nederland</w:t>
      </w:r>
      <w:r w:rsidR="009377E0" w:rsidRPr="008004F3">
        <w:rPr>
          <w:rFonts w:asciiTheme="minorHAnsi" w:hAnsiTheme="minorHAnsi"/>
        </w:rPr>
        <w:t>, gevestigd</w:t>
      </w:r>
      <w:r w:rsidR="008E3990" w:rsidRPr="008004F3">
        <w:rPr>
          <w:rFonts w:asciiTheme="minorHAnsi" w:hAnsiTheme="minorHAnsi"/>
        </w:rPr>
        <w:t xml:space="preserve"> aan </w:t>
      </w:r>
      <w:r w:rsidR="00092630">
        <w:rPr>
          <w:rFonts w:asciiTheme="minorHAnsi" w:hAnsiTheme="minorHAnsi"/>
        </w:rPr>
        <w:t>Brandenburchdreef 20 te Utrecht</w:t>
      </w:r>
      <w:r w:rsidR="009377E0" w:rsidRPr="008004F3">
        <w:rPr>
          <w:rFonts w:asciiTheme="minorHAnsi" w:hAnsiTheme="minorHAnsi"/>
        </w:rPr>
        <w:t xml:space="preserve">, in dezen rechtsgeldig vertegenwoordigd door </w:t>
      </w:r>
      <w:r w:rsidR="00F77C06">
        <w:rPr>
          <w:rFonts w:asciiTheme="minorHAnsi" w:hAnsiTheme="minorHAnsi"/>
        </w:rPr>
        <w:t xml:space="preserve">de heer P.M. van der Klok, </w:t>
      </w:r>
      <w:r w:rsidR="00E1433D" w:rsidRPr="008004F3">
        <w:rPr>
          <w:rFonts w:asciiTheme="minorHAnsi" w:hAnsiTheme="minorHAnsi"/>
        </w:rPr>
        <w:t>in zijn</w:t>
      </w:r>
      <w:r w:rsidR="00092630">
        <w:rPr>
          <w:rFonts w:asciiTheme="minorHAnsi" w:hAnsiTheme="minorHAnsi"/>
        </w:rPr>
        <w:t xml:space="preserve"> </w:t>
      </w:r>
      <w:r w:rsidR="00E1433D" w:rsidRPr="008004F3">
        <w:rPr>
          <w:rFonts w:asciiTheme="minorHAnsi" w:hAnsiTheme="minorHAnsi"/>
        </w:rPr>
        <w:t xml:space="preserve">hoedanigheid van </w:t>
      </w:r>
      <w:r w:rsidR="00F77C06">
        <w:rPr>
          <w:rFonts w:asciiTheme="minorHAnsi" w:hAnsiTheme="minorHAnsi"/>
        </w:rPr>
        <w:t xml:space="preserve">directeur Facilitair Bedrijf </w:t>
      </w:r>
      <w:r w:rsidR="00092630">
        <w:rPr>
          <w:rFonts w:asciiTheme="minorHAnsi" w:hAnsiTheme="minorHAnsi"/>
        </w:rPr>
        <w:t xml:space="preserve">en </w:t>
      </w:r>
      <w:r w:rsidR="00F77C06">
        <w:rPr>
          <w:rFonts w:asciiTheme="minorHAnsi" w:hAnsiTheme="minorHAnsi"/>
        </w:rPr>
        <w:t>de heer M.A. Labij</w:t>
      </w:r>
      <w:r w:rsidR="00822052">
        <w:rPr>
          <w:rFonts w:asciiTheme="minorHAnsi" w:hAnsiTheme="minorHAnsi"/>
        </w:rPr>
        <w:t xml:space="preserve">, </w:t>
      </w:r>
      <w:r w:rsidR="00092630">
        <w:rPr>
          <w:rFonts w:asciiTheme="minorHAnsi" w:hAnsiTheme="minorHAnsi"/>
        </w:rPr>
        <w:t>in zijn hoedanigheid van lid College van Bestuur</w:t>
      </w:r>
      <w:r w:rsidR="00660ECC" w:rsidRPr="008004F3">
        <w:rPr>
          <w:rFonts w:asciiTheme="minorHAnsi" w:hAnsiTheme="minorHAnsi"/>
        </w:rPr>
        <w:t>, hierna te noemen Opdrachtgever,</w:t>
      </w:r>
    </w:p>
    <w:p w14:paraId="42B8D10E" w14:textId="77777777" w:rsidR="009377E0" w:rsidRPr="003B13F5" w:rsidRDefault="009377E0" w:rsidP="008A7D4E">
      <w:pPr>
        <w:rPr>
          <w:rFonts w:asciiTheme="minorHAnsi" w:hAnsiTheme="minorHAnsi"/>
          <w:color w:val="FF0000"/>
        </w:rPr>
      </w:pPr>
    </w:p>
    <w:p w14:paraId="4738CC38" w14:textId="77777777" w:rsidR="009377E0" w:rsidRPr="003B13F5" w:rsidRDefault="009377E0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en </w:t>
      </w:r>
    </w:p>
    <w:p w14:paraId="68FF5AC8" w14:textId="77777777" w:rsidR="009377E0" w:rsidRPr="003B13F5" w:rsidRDefault="009377E0" w:rsidP="008A7D4E">
      <w:pPr>
        <w:rPr>
          <w:rFonts w:asciiTheme="minorHAnsi" w:hAnsiTheme="minorHAnsi"/>
        </w:rPr>
      </w:pPr>
    </w:p>
    <w:p w14:paraId="274A8DB7" w14:textId="1BBAEF92" w:rsidR="009377E0" w:rsidRPr="007F0889" w:rsidRDefault="00660ECC" w:rsidP="008A7D4E">
      <w:pPr>
        <w:rPr>
          <w:rFonts w:asciiTheme="minorHAnsi" w:hAnsiTheme="minorHAnsi"/>
        </w:rPr>
      </w:pPr>
      <w:r w:rsidRPr="007F0889">
        <w:rPr>
          <w:rFonts w:asciiTheme="minorHAnsi" w:hAnsiTheme="minorHAnsi"/>
        </w:rPr>
        <w:t>&lt;</w:t>
      </w:r>
      <w:r w:rsidR="00E1433D" w:rsidRPr="007F0889">
        <w:rPr>
          <w:rFonts w:asciiTheme="minorHAnsi" w:hAnsiTheme="minorHAnsi"/>
        </w:rPr>
        <w:t xml:space="preserve">formele naam </w:t>
      </w:r>
      <w:r w:rsidR="00141474" w:rsidRPr="007F0889">
        <w:rPr>
          <w:rFonts w:asciiTheme="minorHAnsi" w:hAnsiTheme="minorHAnsi"/>
        </w:rPr>
        <w:t>Opdrachtnemer</w:t>
      </w:r>
      <w:r w:rsidRPr="007F0889">
        <w:rPr>
          <w:rFonts w:asciiTheme="minorHAnsi" w:hAnsiTheme="minorHAnsi"/>
        </w:rPr>
        <w:t xml:space="preserve">&gt;, gevestigd te &lt;vestigingsplaats&gt;, ingeschreven bij de Kamer van Koophandel en Fabrieken </w:t>
      </w:r>
      <w:r w:rsidR="00E1433D" w:rsidRPr="007F0889">
        <w:rPr>
          <w:rFonts w:asciiTheme="minorHAnsi" w:hAnsiTheme="minorHAnsi"/>
        </w:rPr>
        <w:t>onder</w:t>
      </w:r>
      <w:r w:rsidRPr="007F0889">
        <w:rPr>
          <w:rFonts w:asciiTheme="minorHAnsi" w:hAnsiTheme="minorHAnsi"/>
        </w:rPr>
        <w:t xml:space="preserve"> dossiernummer &lt;dossiernummer KvK&gt;, in dezen</w:t>
      </w:r>
      <w:r w:rsidR="00757C30" w:rsidRPr="007F0889">
        <w:rPr>
          <w:rFonts w:asciiTheme="minorHAnsi" w:hAnsiTheme="minorHAnsi"/>
        </w:rPr>
        <w:t xml:space="preserve"> rechtsgeldig vertegenwoordigd door </w:t>
      </w:r>
      <w:r w:rsidRPr="007F0889">
        <w:rPr>
          <w:rFonts w:asciiTheme="minorHAnsi" w:hAnsiTheme="minorHAnsi"/>
        </w:rPr>
        <w:t>&lt;naam rechtsgeldig vertegenwoordiger&gt;</w:t>
      </w:r>
      <w:r w:rsidR="00E1433D" w:rsidRPr="007F0889">
        <w:rPr>
          <w:rFonts w:asciiTheme="minorHAnsi" w:hAnsiTheme="minorHAnsi"/>
        </w:rPr>
        <w:t xml:space="preserve"> in zijn</w:t>
      </w:r>
      <w:r w:rsidRPr="007F0889">
        <w:rPr>
          <w:rFonts w:asciiTheme="minorHAnsi" w:hAnsiTheme="minorHAnsi"/>
        </w:rPr>
        <w:t>/haar hoedanigheid van &lt;functie rechtsgeldig vertegenwoordiger&gt;</w:t>
      </w:r>
      <w:r w:rsidR="00E1433D" w:rsidRPr="007F0889">
        <w:rPr>
          <w:rFonts w:asciiTheme="minorHAnsi" w:hAnsiTheme="minorHAnsi"/>
        </w:rPr>
        <w:t xml:space="preserve">, hierna te noemen </w:t>
      </w:r>
      <w:r w:rsidR="00141474" w:rsidRPr="007F0889">
        <w:rPr>
          <w:rFonts w:asciiTheme="minorHAnsi" w:hAnsiTheme="minorHAnsi"/>
        </w:rPr>
        <w:t>Opdrachtnemer</w:t>
      </w:r>
      <w:r w:rsidR="00E1433D" w:rsidRPr="007F0889">
        <w:rPr>
          <w:rFonts w:asciiTheme="minorHAnsi" w:hAnsiTheme="minorHAnsi"/>
        </w:rPr>
        <w:t>,</w:t>
      </w:r>
      <w:r w:rsidR="00D433DD" w:rsidRPr="007F0889">
        <w:rPr>
          <w:rFonts w:asciiTheme="minorHAnsi" w:hAnsiTheme="minorHAnsi"/>
        </w:rPr>
        <w:t xml:space="preserve"> </w:t>
      </w:r>
    </w:p>
    <w:p w14:paraId="722B5DE6" w14:textId="384C0416" w:rsidR="0050651D" w:rsidRPr="007F0889" w:rsidRDefault="0050651D" w:rsidP="008A7D4E">
      <w:pPr>
        <w:rPr>
          <w:rFonts w:asciiTheme="minorHAnsi" w:hAnsiTheme="minorHAnsi"/>
        </w:rPr>
      </w:pPr>
    </w:p>
    <w:p w14:paraId="04BE3825" w14:textId="03AD1460" w:rsidR="0050651D" w:rsidRPr="003B13F5" w:rsidRDefault="00E1433D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520A42" w:rsidRPr="003B13F5">
        <w:rPr>
          <w:rFonts w:asciiTheme="minorHAnsi" w:hAnsiTheme="minorHAnsi"/>
        </w:rPr>
        <w:t xml:space="preserve"> </w:t>
      </w:r>
      <w:r w:rsidR="0050651D" w:rsidRPr="003B13F5">
        <w:rPr>
          <w:rFonts w:asciiTheme="minorHAnsi" w:hAnsiTheme="minorHAnsi"/>
        </w:rPr>
        <w:t xml:space="preserve">hierna </w:t>
      </w:r>
      <w:r w:rsidR="00B5504B" w:rsidRPr="003B13F5">
        <w:rPr>
          <w:rFonts w:asciiTheme="minorHAnsi" w:hAnsiTheme="minorHAnsi"/>
        </w:rPr>
        <w:t>gezamenlijk aan te duiden als “P</w:t>
      </w:r>
      <w:r w:rsidR="0050651D" w:rsidRPr="003B13F5">
        <w:rPr>
          <w:rFonts w:asciiTheme="minorHAnsi" w:hAnsiTheme="minorHAnsi"/>
        </w:rPr>
        <w:t xml:space="preserve">artijen” </w:t>
      </w:r>
    </w:p>
    <w:p w14:paraId="107C9306" w14:textId="77777777" w:rsidR="009377E0" w:rsidRPr="003B13F5" w:rsidRDefault="009377E0" w:rsidP="008A7D4E">
      <w:pPr>
        <w:rPr>
          <w:rFonts w:asciiTheme="minorHAnsi" w:hAnsiTheme="minorHAnsi"/>
        </w:rPr>
      </w:pPr>
    </w:p>
    <w:p w14:paraId="16210DC5" w14:textId="77777777" w:rsidR="0050651D" w:rsidRPr="007F0889" w:rsidRDefault="0050651D" w:rsidP="008A7D4E">
      <w:pPr>
        <w:rPr>
          <w:rFonts w:asciiTheme="minorHAnsi" w:hAnsiTheme="minorHAnsi"/>
          <w:b/>
        </w:rPr>
      </w:pPr>
      <w:r w:rsidRPr="007F0889">
        <w:rPr>
          <w:rFonts w:asciiTheme="minorHAnsi" w:hAnsiTheme="minorHAnsi"/>
          <w:b/>
        </w:rPr>
        <w:t>In aanmerking nemende dat:</w:t>
      </w:r>
    </w:p>
    <w:p w14:paraId="0D1A0813" w14:textId="77777777" w:rsidR="00757C30" w:rsidRPr="007F0889" w:rsidRDefault="00D433DD" w:rsidP="008A7D4E">
      <w:pPr>
        <w:rPr>
          <w:rFonts w:asciiTheme="minorHAnsi" w:hAnsiTheme="minorHAnsi"/>
        </w:rPr>
      </w:pPr>
      <w:r w:rsidRPr="007F0889">
        <w:rPr>
          <w:rFonts w:asciiTheme="minorHAnsi" w:hAnsiTheme="minorHAnsi"/>
        </w:rPr>
        <w:t xml:space="preserve"> </w:t>
      </w:r>
    </w:p>
    <w:p w14:paraId="3AB47BA6" w14:textId="77777777" w:rsidR="00355C99" w:rsidRPr="007F0889" w:rsidRDefault="00355C99" w:rsidP="008A7D4E">
      <w:pPr>
        <w:rPr>
          <w:rFonts w:asciiTheme="minorHAnsi" w:hAnsiTheme="minorHAnsi"/>
        </w:rPr>
      </w:pPr>
      <w:r w:rsidRPr="007F0889">
        <w:rPr>
          <w:rFonts w:asciiTheme="minorHAnsi" w:hAnsiTheme="minorHAnsi"/>
        </w:rPr>
        <w:t>Op &lt;datum publicatie&gt; door Opdrachtgever een aanbesteding is uitgeschreven;</w:t>
      </w:r>
    </w:p>
    <w:p w14:paraId="38F8525E" w14:textId="77777777" w:rsidR="00355C99" w:rsidRPr="007F0889" w:rsidRDefault="00355C99" w:rsidP="008A7D4E">
      <w:pPr>
        <w:rPr>
          <w:rFonts w:asciiTheme="minorHAnsi" w:hAnsiTheme="minorHAnsi"/>
        </w:rPr>
      </w:pPr>
    </w:p>
    <w:p w14:paraId="297CA96E" w14:textId="77777777" w:rsidR="00355C99" w:rsidRPr="007F0889" w:rsidRDefault="00355C99" w:rsidP="008A7D4E">
      <w:pPr>
        <w:rPr>
          <w:rFonts w:asciiTheme="minorHAnsi" w:hAnsiTheme="minorHAnsi"/>
        </w:rPr>
      </w:pPr>
      <w:r w:rsidRPr="007F0889">
        <w:rPr>
          <w:rFonts w:asciiTheme="minorHAnsi" w:hAnsiTheme="minorHAnsi"/>
        </w:rPr>
        <w:t>Op &lt;datum inschrijving&gt; door Opdrachtnemer een inschrijving is gedaan;</w:t>
      </w:r>
    </w:p>
    <w:p w14:paraId="2E7CAD2A" w14:textId="77777777" w:rsidR="00355C99" w:rsidRPr="003B13F5" w:rsidRDefault="00355C99" w:rsidP="008A7D4E">
      <w:pPr>
        <w:rPr>
          <w:rFonts w:asciiTheme="minorHAnsi" w:hAnsiTheme="minorHAnsi"/>
        </w:rPr>
      </w:pPr>
    </w:p>
    <w:p w14:paraId="000BF3B0" w14:textId="77777777" w:rsidR="00355C99" w:rsidRPr="003B13F5" w:rsidRDefault="00355C99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Opdrachtgever besloten heeft de opdracht aan Opdrachtnemer te gunnen.</w:t>
      </w:r>
    </w:p>
    <w:p w14:paraId="659048BA" w14:textId="77777777" w:rsidR="00355C99" w:rsidRPr="003B13F5" w:rsidRDefault="00355C99" w:rsidP="008A7D4E">
      <w:pPr>
        <w:rPr>
          <w:rFonts w:asciiTheme="minorHAnsi" w:hAnsiTheme="minorHAnsi"/>
        </w:rPr>
      </w:pPr>
    </w:p>
    <w:p w14:paraId="6B4304B3" w14:textId="77777777" w:rsidR="0050651D" w:rsidRPr="003B13F5" w:rsidRDefault="0050651D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Partijen de in dit kader gemaakte afspraken in deze overeenkomst willen formaliseren waarbij </w:t>
      </w:r>
      <w:r w:rsidR="00982A06" w:rsidRPr="003B13F5">
        <w:rPr>
          <w:rFonts w:asciiTheme="minorHAnsi" w:hAnsiTheme="minorHAnsi"/>
        </w:rPr>
        <w:t>in deze overeenkomst genoemde en gerangschikte bijlagen onlosmakelijk met deze overeenkomst verbonden zijn.</w:t>
      </w:r>
    </w:p>
    <w:p w14:paraId="05183B8B" w14:textId="77777777" w:rsidR="0050651D" w:rsidRPr="003B13F5" w:rsidRDefault="0050651D" w:rsidP="008A7D4E">
      <w:pPr>
        <w:rPr>
          <w:rFonts w:asciiTheme="minorHAnsi" w:hAnsiTheme="minorHAnsi"/>
        </w:rPr>
      </w:pPr>
    </w:p>
    <w:p w14:paraId="0DB1085C" w14:textId="77777777" w:rsidR="00982A06" w:rsidRPr="003B13F5" w:rsidRDefault="00982A06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  <w:b/>
        </w:rPr>
        <w:t>Zijn overeengekomen als volgt:</w:t>
      </w:r>
    </w:p>
    <w:p w14:paraId="5B9A6220" w14:textId="77777777" w:rsidR="00982A06" w:rsidRPr="003B13F5" w:rsidRDefault="00982A06" w:rsidP="008A7D4E">
      <w:pPr>
        <w:rPr>
          <w:rFonts w:asciiTheme="minorHAnsi" w:hAnsiTheme="minorHAnsi"/>
        </w:rPr>
      </w:pPr>
    </w:p>
    <w:p w14:paraId="5D72D3F2" w14:textId="77777777" w:rsidR="00215772" w:rsidRPr="003B13F5" w:rsidRDefault="00215772" w:rsidP="008A7D4E">
      <w:pPr>
        <w:rPr>
          <w:rFonts w:asciiTheme="minorHAnsi" w:hAnsiTheme="minorHAnsi"/>
          <w:u w:val="single"/>
        </w:rPr>
      </w:pPr>
    </w:p>
    <w:p w14:paraId="1939D8E9" w14:textId="7BCEA28A" w:rsidR="008B7975" w:rsidRPr="003B13F5" w:rsidRDefault="008B7975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092630">
        <w:rPr>
          <w:rFonts w:asciiTheme="minorHAnsi" w:hAnsiTheme="minorHAnsi"/>
          <w:u w:val="single"/>
        </w:rPr>
        <w:t xml:space="preserve">1 – </w:t>
      </w:r>
      <w:r w:rsidR="005872BD" w:rsidRPr="003B13F5">
        <w:rPr>
          <w:rFonts w:asciiTheme="minorHAnsi" w:hAnsiTheme="minorHAnsi"/>
          <w:u w:val="single"/>
        </w:rPr>
        <w:t>Voorwerp</w:t>
      </w:r>
      <w:r w:rsidR="00092630">
        <w:rPr>
          <w:rFonts w:asciiTheme="minorHAnsi" w:hAnsiTheme="minorHAnsi"/>
          <w:u w:val="single"/>
        </w:rPr>
        <w:t xml:space="preserve"> </w:t>
      </w:r>
      <w:r w:rsidRPr="003B13F5">
        <w:rPr>
          <w:rFonts w:asciiTheme="minorHAnsi" w:hAnsiTheme="minorHAnsi"/>
          <w:u w:val="single"/>
        </w:rPr>
        <w:t>van de overeenkomst</w:t>
      </w:r>
    </w:p>
    <w:p w14:paraId="325504E1" w14:textId="77777777" w:rsidR="00726E7D" w:rsidRDefault="00726E7D" w:rsidP="008A7D4E">
      <w:pPr>
        <w:rPr>
          <w:rFonts w:asciiTheme="minorHAnsi" w:hAnsiTheme="minorHAnsi"/>
        </w:rPr>
      </w:pPr>
    </w:p>
    <w:p w14:paraId="471A9331" w14:textId="43CB4FA3" w:rsidR="0041453D" w:rsidRDefault="00092630" w:rsidP="008A7D4E">
      <w:r>
        <w:rPr>
          <w:rFonts w:asciiTheme="minorHAnsi" w:hAnsiTheme="minorHAnsi"/>
        </w:rPr>
        <w:t>H</w:t>
      </w:r>
      <w:r w:rsidR="008B7975" w:rsidRPr="003B13F5">
        <w:rPr>
          <w:rFonts w:asciiTheme="minorHAnsi" w:hAnsiTheme="minorHAnsi"/>
        </w:rPr>
        <w:t>et onderwerp van deze overeenkomst betreft</w:t>
      </w:r>
      <w:r w:rsidR="0041453D">
        <w:rPr>
          <w:rFonts w:asciiTheme="minorHAnsi" w:hAnsiTheme="minorHAnsi"/>
        </w:rPr>
        <w:t xml:space="preserve"> h</w:t>
      </w:r>
      <w:r w:rsidR="0041453D" w:rsidRPr="2FDD7A4C">
        <w:t>et verschaffen van real time inzicht op de locaties in de aanwezigheid van BHV-</w:t>
      </w:r>
      <w:proofErr w:type="spellStart"/>
      <w:r w:rsidR="0041453D" w:rsidRPr="2FDD7A4C">
        <w:t>ers</w:t>
      </w:r>
      <w:proofErr w:type="spellEnd"/>
      <w:r w:rsidR="0041453D" w:rsidRPr="2FDD7A4C">
        <w:t xml:space="preserve"> door middel van een BHV app. Bij calamiteiten op de locatie moet het mogelijk zijn om de </w:t>
      </w:r>
      <w:r w:rsidR="0041453D">
        <w:t>beschikbare</w:t>
      </w:r>
      <w:r w:rsidR="0041453D" w:rsidRPr="2FDD7A4C">
        <w:t xml:space="preserve"> BHV-</w:t>
      </w:r>
      <w:proofErr w:type="spellStart"/>
      <w:r w:rsidR="0041453D" w:rsidRPr="2FDD7A4C">
        <w:t>ers</w:t>
      </w:r>
      <w:proofErr w:type="spellEnd"/>
      <w:r w:rsidR="0041453D" w:rsidRPr="2FDD7A4C">
        <w:t xml:space="preserve"> op te roepen en in te zetten. De overall communicatie binnen de BHV-organisatie moet daarmee effectiever en professioneler georganiseerd worden. De BHV app zal een verplichting worden voor de BHV-</w:t>
      </w:r>
      <w:proofErr w:type="spellStart"/>
      <w:r w:rsidR="0041453D" w:rsidRPr="2FDD7A4C">
        <w:t>ers</w:t>
      </w:r>
      <w:proofErr w:type="spellEnd"/>
      <w:r w:rsidR="0041453D" w:rsidRPr="2FDD7A4C">
        <w:t xml:space="preserve"> om te installeren en te gebruiken. De app moet op een telefoon geïnstalleerd worden (Android)  Dit is een voorwaarde voor succesvolle BHV organisatie.</w:t>
      </w:r>
    </w:p>
    <w:p w14:paraId="03F819CF" w14:textId="77777777" w:rsidR="007A2252" w:rsidRDefault="007A2252" w:rsidP="008A7D4E"/>
    <w:p w14:paraId="6714D1F5" w14:textId="77777777" w:rsidR="007A2252" w:rsidRDefault="007A2252" w:rsidP="008A7D4E"/>
    <w:p w14:paraId="482824DA" w14:textId="77777777" w:rsidR="0041453D" w:rsidRDefault="0041453D" w:rsidP="008A7D4E">
      <w:pPr>
        <w:rPr>
          <w:rFonts w:asciiTheme="minorHAnsi" w:hAnsiTheme="minorHAnsi"/>
        </w:rPr>
      </w:pPr>
    </w:p>
    <w:p w14:paraId="5BB55677" w14:textId="3CCCB739" w:rsidR="00092630" w:rsidRPr="003B13F5" w:rsidRDefault="00092630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lastRenderedPageBreak/>
        <w:t xml:space="preserve">Artikel </w:t>
      </w:r>
      <w:r w:rsidR="009F4ACC">
        <w:rPr>
          <w:rFonts w:asciiTheme="minorHAnsi" w:hAnsiTheme="minorHAnsi"/>
          <w:u w:val="single"/>
        </w:rPr>
        <w:t>2</w:t>
      </w:r>
      <w:r w:rsidR="000B5A16">
        <w:rPr>
          <w:rFonts w:asciiTheme="minorHAnsi" w:hAnsiTheme="minorHAnsi"/>
          <w:u w:val="single"/>
        </w:rPr>
        <w:t xml:space="preserve"> – </w:t>
      </w:r>
      <w:r w:rsidRPr="003B13F5">
        <w:rPr>
          <w:rFonts w:asciiTheme="minorHAnsi" w:hAnsiTheme="minorHAnsi"/>
          <w:u w:val="single"/>
        </w:rPr>
        <w:t>Duur</w:t>
      </w:r>
      <w:r w:rsidR="000B5A16">
        <w:rPr>
          <w:rFonts w:asciiTheme="minorHAnsi" w:hAnsiTheme="minorHAnsi"/>
          <w:u w:val="single"/>
        </w:rPr>
        <w:t xml:space="preserve"> </w:t>
      </w:r>
      <w:r w:rsidRPr="003B13F5">
        <w:rPr>
          <w:rFonts w:asciiTheme="minorHAnsi" w:hAnsiTheme="minorHAnsi"/>
          <w:u w:val="single"/>
        </w:rPr>
        <w:t>van de overeenkomst</w:t>
      </w:r>
    </w:p>
    <w:p w14:paraId="56C2FFF3" w14:textId="77777777" w:rsidR="00092630" w:rsidRPr="003B13F5" w:rsidRDefault="00092630" w:rsidP="008A7D4E">
      <w:pPr>
        <w:rPr>
          <w:rFonts w:asciiTheme="minorHAnsi" w:hAnsiTheme="minorHAnsi"/>
        </w:rPr>
      </w:pPr>
    </w:p>
    <w:p w14:paraId="2C9FC79D" w14:textId="6012B5BE" w:rsidR="00DC5A6E" w:rsidRPr="00DC5A6E" w:rsidRDefault="00B32CDD" w:rsidP="008A7D4E">
      <w:pPr>
        <w:rPr>
          <w:rFonts w:cstheme="minorHAnsi"/>
        </w:rPr>
      </w:pPr>
      <w:r w:rsidRPr="00DC5A6E">
        <w:rPr>
          <w:rFonts w:cstheme="minorHAnsi"/>
        </w:rPr>
        <w:t xml:space="preserve">Deze overeenkomst zal uiterlijk op </w:t>
      </w:r>
      <w:r w:rsidR="007D5869" w:rsidRPr="00CE4458">
        <w:rPr>
          <w:rFonts w:cstheme="minorHAnsi"/>
          <w:color w:val="FF0000"/>
        </w:rPr>
        <w:t xml:space="preserve">………………….. </w:t>
      </w:r>
      <w:r w:rsidR="007D5869" w:rsidRPr="00DC5A6E">
        <w:rPr>
          <w:rFonts w:cstheme="minorHAnsi"/>
        </w:rPr>
        <w:t xml:space="preserve">[datum ingang] </w:t>
      </w:r>
      <w:r w:rsidR="004C1C88" w:rsidRPr="00DC5A6E">
        <w:rPr>
          <w:rFonts w:cstheme="minorHAnsi"/>
        </w:rPr>
        <w:t>i</w:t>
      </w:r>
      <w:r w:rsidRPr="00DC5A6E">
        <w:rPr>
          <w:rFonts w:cstheme="minorHAnsi"/>
        </w:rPr>
        <w:t xml:space="preserve">ngaan en kent een initiële looptijd van </w:t>
      </w:r>
      <w:r w:rsidR="009F4ACC" w:rsidRPr="00DC5A6E">
        <w:rPr>
          <w:rFonts w:cstheme="minorHAnsi"/>
        </w:rPr>
        <w:t>drie (3) j</w:t>
      </w:r>
      <w:r w:rsidRPr="00DC5A6E">
        <w:rPr>
          <w:rFonts w:cstheme="minorHAnsi"/>
        </w:rPr>
        <w:t xml:space="preserve">aar. De overeenkomst heeft een wederzijdse en tussentijdse opzegtermijn van 6 maanden. Van rechtswege eindigt de overeenkomst in ieder geval op </w:t>
      </w:r>
      <w:r w:rsidR="004C1C88" w:rsidRPr="00CE4458">
        <w:rPr>
          <w:rFonts w:cstheme="minorHAnsi"/>
          <w:color w:val="FF0000"/>
        </w:rPr>
        <w:t xml:space="preserve">………………. </w:t>
      </w:r>
      <w:r w:rsidR="004C1C88" w:rsidRPr="00DC5A6E">
        <w:rPr>
          <w:rFonts w:cstheme="minorHAnsi"/>
        </w:rPr>
        <w:t>[einddatum]</w:t>
      </w:r>
      <w:r w:rsidRPr="00DC5A6E">
        <w:rPr>
          <w:rFonts w:cstheme="minorHAnsi"/>
        </w:rPr>
        <w:t xml:space="preserve">. Na de initiële looptijd bestaat de mogelijkheid tot verlenging met </w:t>
      </w:r>
      <w:r w:rsidR="00DC5A6E" w:rsidRPr="00DC5A6E">
        <w:rPr>
          <w:rFonts w:cstheme="minorHAnsi"/>
        </w:rPr>
        <w:t xml:space="preserve">eenmaal met twee (2) jaar en vervolgens nog eenmaal met een (1) </w:t>
      </w:r>
      <w:r w:rsidRPr="00DC5A6E">
        <w:rPr>
          <w:rFonts w:cstheme="minorHAnsi"/>
        </w:rPr>
        <w:t>jaar</w:t>
      </w:r>
      <w:r w:rsidR="00DC5A6E" w:rsidRPr="00DC5A6E">
        <w:rPr>
          <w:rFonts w:cstheme="minorHAnsi"/>
        </w:rPr>
        <w:t xml:space="preserve"> te verlengen</w:t>
      </w:r>
      <w:r w:rsidRPr="00DC5A6E">
        <w:rPr>
          <w:rFonts w:cstheme="minorHAnsi"/>
        </w:rPr>
        <w:t xml:space="preserve">. </w:t>
      </w:r>
      <w:r w:rsidR="00DC5A6E" w:rsidRPr="00DC5A6E">
        <w:rPr>
          <w:rFonts w:cstheme="minorHAnsi"/>
        </w:rPr>
        <w:t>Het initiatief voor het verlenging middels de optiejaren ligt bij Opdrachtgever.</w:t>
      </w:r>
    </w:p>
    <w:p w14:paraId="446E1961" w14:textId="77777777" w:rsidR="00092630" w:rsidRPr="003B13F5" w:rsidRDefault="00092630" w:rsidP="008A7D4E">
      <w:pPr>
        <w:rPr>
          <w:rFonts w:asciiTheme="minorHAnsi" w:hAnsiTheme="minorHAnsi"/>
          <w:b/>
        </w:rPr>
      </w:pPr>
    </w:p>
    <w:p w14:paraId="5DFFFFF9" w14:textId="52877A8C" w:rsidR="00092630" w:rsidRPr="003B13F5" w:rsidRDefault="00092630" w:rsidP="008A7D4E">
      <w:pPr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>Artikel</w:t>
      </w:r>
      <w:r w:rsidR="000B5A16">
        <w:rPr>
          <w:rFonts w:asciiTheme="minorHAnsi" w:hAnsiTheme="minorHAnsi"/>
          <w:u w:val="single"/>
        </w:rPr>
        <w:t xml:space="preserve"> </w:t>
      </w:r>
      <w:r w:rsidR="00DC5A6E">
        <w:rPr>
          <w:rFonts w:asciiTheme="minorHAnsi" w:hAnsiTheme="minorHAnsi"/>
          <w:u w:val="single"/>
        </w:rPr>
        <w:t>3</w:t>
      </w:r>
      <w:r w:rsidR="000B5A16">
        <w:rPr>
          <w:rFonts w:asciiTheme="minorHAnsi" w:hAnsiTheme="minorHAnsi"/>
          <w:u w:val="single"/>
        </w:rPr>
        <w:t xml:space="preserve"> – </w:t>
      </w:r>
      <w:r w:rsidRPr="003B13F5">
        <w:rPr>
          <w:rFonts w:asciiTheme="minorHAnsi" w:hAnsiTheme="minorHAnsi"/>
          <w:u w:val="single"/>
        </w:rPr>
        <w:t>Bijlagen</w:t>
      </w:r>
      <w:r w:rsidR="000B5A16">
        <w:rPr>
          <w:rFonts w:asciiTheme="minorHAnsi" w:hAnsiTheme="minorHAnsi"/>
          <w:u w:val="single"/>
        </w:rPr>
        <w:t xml:space="preserve"> </w:t>
      </w:r>
    </w:p>
    <w:p w14:paraId="31CE6FD4" w14:textId="77777777" w:rsidR="00DC5A6E" w:rsidRDefault="00092630" w:rsidP="008A7D4E">
      <w:pPr>
        <w:pStyle w:val="Lijstalinea"/>
        <w:numPr>
          <w:ilvl w:val="1"/>
          <w:numId w:val="24"/>
        </w:numPr>
        <w:rPr>
          <w:rFonts w:asciiTheme="minorHAnsi" w:hAnsiTheme="minorHAnsi"/>
        </w:rPr>
      </w:pPr>
      <w:r w:rsidRPr="00DC5A6E">
        <w:rPr>
          <w:rFonts w:asciiTheme="minorHAnsi" w:hAnsiTheme="minorHAnsi"/>
        </w:rPr>
        <w:t xml:space="preserve">Deze overeenkomst wordt gecompleteerd met de Algemene Inkoopvoorwaarden van </w:t>
      </w:r>
      <w:r w:rsidR="00735B0B" w:rsidRPr="00DC5A6E">
        <w:rPr>
          <w:rFonts w:asciiTheme="minorHAnsi" w:hAnsiTheme="minorHAnsi"/>
        </w:rPr>
        <w:t>ROC MN</w:t>
      </w:r>
      <w:r w:rsidRPr="00DC5A6E">
        <w:rPr>
          <w:rFonts w:asciiTheme="minorHAnsi" w:hAnsiTheme="minorHAnsi"/>
        </w:rPr>
        <w:t>. Andere algemene- of verkoopvoorwaarden worden uitdrukkelijk uitgesloten.</w:t>
      </w:r>
    </w:p>
    <w:p w14:paraId="2380E35F" w14:textId="77777777" w:rsidR="00DC5A6E" w:rsidRDefault="00092630" w:rsidP="008A7D4E">
      <w:pPr>
        <w:pStyle w:val="Lijstalinea"/>
        <w:numPr>
          <w:ilvl w:val="1"/>
          <w:numId w:val="24"/>
        </w:numPr>
        <w:rPr>
          <w:rFonts w:asciiTheme="minorHAnsi" w:hAnsiTheme="minorHAnsi"/>
        </w:rPr>
      </w:pPr>
      <w:r w:rsidRPr="00DC5A6E">
        <w:rPr>
          <w:rFonts w:asciiTheme="minorHAnsi" w:hAnsiTheme="minorHAnsi"/>
        </w:rPr>
        <w:t>Deze overeenkomst wordt verder aangevuld met de inkoopdocumenten van Opdrachtgever betreffende het inkooptraject</w:t>
      </w:r>
      <w:r w:rsidR="00735B0B" w:rsidRPr="00DC5A6E">
        <w:rPr>
          <w:rFonts w:asciiTheme="minorHAnsi" w:hAnsiTheme="minorHAnsi"/>
        </w:rPr>
        <w:t xml:space="preserve"> warme en koude drankenautomaten </w:t>
      </w:r>
      <w:r w:rsidRPr="00DC5A6E">
        <w:rPr>
          <w:rFonts w:asciiTheme="minorHAnsi" w:hAnsiTheme="minorHAnsi"/>
        </w:rPr>
        <w:t>en de inschrijving inclusief eventuele nadere uitwerking daarvan en bijlagen van Opdrachtnemer.</w:t>
      </w:r>
    </w:p>
    <w:p w14:paraId="66F214C7" w14:textId="25AAC629" w:rsidR="00CB50BE" w:rsidRPr="00DC5A6E" w:rsidRDefault="00092630" w:rsidP="008A7D4E">
      <w:pPr>
        <w:pStyle w:val="Lijstalinea"/>
        <w:numPr>
          <w:ilvl w:val="1"/>
          <w:numId w:val="24"/>
        </w:numPr>
        <w:rPr>
          <w:rFonts w:asciiTheme="minorHAnsi" w:hAnsiTheme="minorHAnsi"/>
        </w:rPr>
      </w:pPr>
      <w:r w:rsidRPr="00DC5A6E">
        <w:rPr>
          <w:rFonts w:asciiTheme="minorHAnsi" w:hAnsiTheme="minorHAnsi"/>
        </w:rPr>
        <w:t xml:space="preserve">Deze overeenkomst prevaleert boven alle overige documenten. </w:t>
      </w:r>
      <w:r w:rsidR="00CB50BE" w:rsidRPr="00DC5A6E">
        <w:rPr>
          <w:rStyle w:val="normaltextrun"/>
          <w:rFonts w:eastAsiaTheme="majorEastAsia" w:cs="Calibri"/>
        </w:rPr>
        <w:t>In geval van tegenstrijdigheden geldt de volgende rangorde van documenten: </w:t>
      </w:r>
      <w:r w:rsidR="00CB50BE" w:rsidRPr="00DC5A6E">
        <w:rPr>
          <w:rStyle w:val="eop"/>
          <w:rFonts w:cs="Calibri"/>
        </w:rPr>
        <w:t> </w:t>
      </w:r>
    </w:p>
    <w:p w14:paraId="045F2402" w14:textId="29CE08E1" w:rsidR="0030353B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 w:rsidRPr="007717E6">
        <w:t>Overeenkomst</w:t>
      </w:r>
      <w:r w:rsidR="00294518">
        <w:t xml:space="preserve"> en SLA</w:t>
      </w:r>
    </w:p>
    <w:p w14:paraId="50F50A03" w14:textId="77777777" w:rsidR="0030353B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>
        <w:t>Privacy agreement</w:t>
      </w:r>
    </w:p>
    <w:p w14:paraId="638DF226" w14:textId="77777777" w:rsidR="0030353B" w:rsidRPr="007717E6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>
        <w:t>Security Agreement</w:t>
      </w:r>
    </w:p>
    <w:p w14:paraId="578F8C92" w14:textId="77777777" w:rsidR="0030353B" w:rsidRPr="007717E6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 w:rsidRPr="007717E6">
        <w:t>Nota`s van Inlichtingen (laatste versie als hoogste in de rangorde)</w:t>
      </w:r>
    </w:p>
    <w:p w14:paraId="3910A50A" w14:textId="77777777" w:rsidR="0030353B" w:rsidRPr="007717E6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 w:rsidRPr="007717E6">
        <w:t>Aanbestedingsdocument inclusief bijlagen</w:t>
      </w:r>
    </w:p>
    <w:p w14:paraId="4E984EF8" w14:textId="77777777" w:rsidR="0030353B" w:rsidRPr="007717E6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 w:rsidRPr="007717E6">
        <w:t>Algemene Voorwaarden van opdrachtgever</w:t>
      </w:r>
    </w:p>
    <w:p w14:paraId="441A4DDF" w14:textId="77777777" w:rsidR="0030353B" w:rsidRDefault="0030353B" w:rsidP="008A7D4E">
      <w:pPr>
        <w:pStyle w:val="Lijstalinea"/>
        <w:numPr>
          <w:ilvl w:val="0"/>
          <w:numId w:val="26"/>
        </w:numPr>
        <w:ind w:left="709" w:hanging="283"/>
        <w:contextualSpacing/>
      </w:pPr>
      <w:r w:rsidRPr="007717E6">
        <w:t>Inschrijving van opdrachtnemer</w:t>
      </w:r>
    </w:p>
    <w:p w14:paraId="21B2635A" w14:textId="77777777" w:rsidR="00092630" w:rsidRPr="003B13F5" w:rsidRDefault="00092630" w:rsidP="008A7D4E">
      <w:pPr>
        <w:rPr>
          <w:rFonts w:asciiTheme="minorHAnsi" w:hAnsiTheme="minorHAnsi"/>
        </w:rPr>
      </w:pPr>
    </w:p>
    <w:p w14:paraId="7E49E585" w14:textId="0413C3A1" w:rsidR="008B7975" w:rsidRPr="003B13F5" w:rsidRDefault="00207BD0" w:rsidP="008A7D4E">
      <w:pPr>
        <w:rPr>
          <w:rFonts w:asciiTheme="minorHAnsi" w:hAnsiTheme="minorHAnsi"/>
          <w:b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30353B">
        <w:rPr>
          <w:rFonts w:asciiTheme="minorHAnsi" w:hAnsiTheme="minorHAnsi"/>
          <w:u w:val="single"/>
        </w:rPr>
        <w:t>4</w:t>
      </w:r>
      <w:r w:rsidR="000B5A16">
        <w:rPr>
          <w:rFonts w:asciiTheme="minorHAnsi" w:hAnsiTheme="minorHAnsi"/>
          <w:u w:val="single"/>
        </w:rPr>
        <w:t xml:space="preserve"> – </w:t>
      </w:r>
      <w:r w:rsidR="00294518">
        <w:rPr>
          <w:rFonts w:asciiTheme="minorHAnsi" w:hAnsiTheme="minorHAnsi"/>
          <w:u w:val="single"/>
        </w:rPr>
        <w:t>communicatiematrix, v</w:t>
      </w:r>
      <w:r w:rsidR="002F2145" w:rsidRPr="003B13F5">
        <w:rPr>
          <w:rFonts w:asciiTheme="minorHAnsi" w:hAnsiTheme="minorHAnsi"/>
          <w:u w:val="single"/>
        </w:rPr>
        <w:t>oortgangrapportage</w:t>
      </w:r>
      <w:r w:rsidR="00561164">
        <w:rPr>
          <w:rFonts w:asciiTheme="minorHAnsi" w:hAnsiTheme="minorHAnsi"/>
          <w:u w:val="single"/>
        </w:rPr>
        <w:t>, managementinformatie</w:t>
      </w:r>
    </w:p>
    <w:p w14:paraId="62A50F6D" w14:textId="77777777" w:rsidR="00B42D35" w:rsidRDefault="00B42D35" w:rsidP="008A7D4E">
      <w:pPr>
        <w:pStyle w:val="Lijstalinea"/>
        <w:autoSpaceDN w:val="0"/>
        <w:ind w:left="0"/>
      </w:pPr>
    </w:p>
    <w:p w14:paraId="711CDB30" w14:textId="30AACC53" w:rsidR="00445151" w:rsidRDefault="00B42D35" w:rsidP="008A7D4E">
      <w:pPr>
        <w:pStyle w:val="Lijstalinea"/>
        <w:autoSpaceDN w:val="0"/>
        <w:ind w:left="0"/>
      </w:pPr>
      <w:r>
        <w:t>4.1</w:t>
      </w:r>
      <w:r>
        <w:tab/>
      </w:r>
      <w:r w:rsidR="00294518">
        <w:t>Communicatiematrix</w:t>
      </w:r>
    </w:p>
    <w:tbl>
      <w:tblPr>
        <w:tblStyle w:val="Tabelraster"/>
        <w:tblW w:w="100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776"/>
        <w:gridCol w:w="1716"/>
        <w:gridCol w:w="1828"/>
        <w:gridCol w:w="1438"/>
      </w:tblGrid>
      <w:tr w:rsidR="00294518" w:rsidRPr="00525C11" w14:paraId="523BBD09" w14:textId="77777777" w:rsidTr="00B42D35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19198391" w14:textId="77777777" w:rsidR="00294518" w:rsidRPr="00B42D35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42D35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Vorm overleg</w:t>
            </w:r>
          </w:p>
        </w:tc>
        <w:tc>
          <w:tcPr>
            <w:tcW w:w="2776" w:type="dxa"/>
            <w:tcMar>
              <w:left w:w="105" w:type="dxa"/>
              <w:right w:w="105" w:type="dxa"/>
            </w:tcMar>
          </w:tcPr>
          <w:p w14:paraId="02D9042E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Contactpersoon ROC MN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</w:tcPr>
          <w:p w14:paraId="5A821C85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Contactpersoon Leverancier </w:t>
            </w:r>
          </w:p>
        </w:tc>
        <w:tc>
          <w:tcPr>
            <w:tcW w:w="1828" w:type="dxa"/>
            <w:tcMar>
              <w:left w:w="105" w:type="dxa"/>
              <w:right w:w="105" w:type="dxa"/>
            </w:tcMar>
          </w:tcPr>
          <w:p w14:paraId="4C8D02EB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Bespreekpunten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58B5D1BA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Frequentie</w:t>
            </w:r>
          </w:p>
        </w:tc>
      </w:tr>
      <w:tr w:rsidR="00294518" w:rsidRPr="00525C11" w14:paraId="51E46F48" w14:textId="77777777" w:rsidTr="00B42D35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58CFF4C2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Strategisch</w:t>
            </w:r>
          </w:p>
        </w:tc>
        <w:tc>
          <w:tcPr>
            <w:tcW w:w="2776" w:type="dxa"/>
            <w:tcMar>
              <w:left w:w="105" w:type="dxa"/>
              <w:right w:w="105" w:type="dxa"/>
            </w:tcMar>
          </w:tcPr>
          <w:p w14:paraId="3CEDA54C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Directeur Facilitair Bedrijf</w:t>
            </w:r>
          </w:p>
          <w:p w14:paraId="03EB20E4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Adviseur Inkoop</w:t>
            </w:r>
          </w:p>
          <w:p w14:paraId="6E597ADB" w14:textId="77777777" w:rsidR="00294518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Specialist</w:t>
            </w:r>
          </w:p>
          <w:p w14:paraId="79CB0DF4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16" w:type="dxa"/>
            <w:tcMar>
              <w:left w:w="105" w:type="dxa"/>
              <w:right w:w="105" w:type="dxa"/>
            </w:tcMar>
          </w:tcPr>
          <w:p w14:paraId="7DE34724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828" w:type="dxa"/>
            <w:tcMar>
              <w:left w:w="105" w:type="dxa"/>
              <w:right w:w="105" w:type="dxa"/>
            </w:tcMar>
          </w:tcPr>
          <w:p w14:paraId="132D39E0" w14:textId="77777777" w:rsidR="00294518" w:rsidRPr="00525C11" w:rsidRDefault="00294518" w:rsidP="008A7D4E">
            <w:pPr>
              <w:pStyle w:val="Lijstalinea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4911FB59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294518" w:rsidRPr="00525C11" w14:paraId="7F48BDA0" w14:textId="77777777" w:rsidTr="00B42D35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438DF0DA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Tactisch </w:t>
            </w:r>
          </w:p>
        </w:tc>
        <w:tc>
          <w:tcPr>
            <w:tcW w:w="2776" w:type="dxa"/>
            <w:tcMar>
              <w:left w:w="105" w:type="dxa"/>
              <w:right w:w="105" w:type="dxa"/>
            </w:tcMar>
          </w:tcPr>
          <w:p w14:paraId="375DB0EA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Specialist</w:t>
            </w:r>
          </w:p>
          <w:p w14:paraId="2058D30E" w14:textId="77777777" w:rsidR="00294518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Manager</w:t>
            </w:r>
          </w:p>
          <w:p w14:paraId="0AA595F5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16" w:type="dxa"/>
            <w:tcMar>
              <w:left w:w="105" w:type="dxa"/>
              <w:right w:w="105" w:type="dxa"/>
            </w:tcMar>
          </w:tcPr>
          <w:p w14:paraId="0D7691A1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828" w:type="dxa"/>
            <w:tcMar>
              <w:left w:w="105" w:type="dxa"/>
              <w:right w:w="105" w:type="dxa"/>
            </w:tcMar>
          </w:tcPr>
          <w:p w14:paraId="18BD74C1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3734CA7C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294518" w:rsidRPr="00525C11" w14:paraId="695F8D14" w14:textId="77777777" w:rsidTr="00B42D35">
        <w:trPr>
          <w:trHeight w:val="671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249FA760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Operationeel</w:t>
            </w:r>
          </w:p>
        </w:tc>
        <w:tc>
          <w:tcPr>
            <w:tcW w:w="2776" w:type="dxa"/>
            <w:tcMar>
              <w:left w:w="105" w:type="dxa"/>
              <w:right w:w="105" w:type="dxa"/>
            </w:tcMar>
          </w:tcPr>
          <w:p w14:paraId="1BE4D848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Manager</w:t>
            </w:r>
          </w:p>
          <w:p w14:paraId="354A03CB" w14:textId="77777777" w:rsidR="00294518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(Senior) Facilitair Medewerker</w:t>
            </w:r>
          </w:p>
          <w:p w14:paraId="73806114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716" w:type="dxa"/>
            <w:tcMar>
              <w:left w:w="105" w:type="dxa"/>
              <w:right w:w="105" w:type="dxa"/>
            </w:tcMar>
          </w:tcPr>
          <w:p w14:paraId="1F193068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828" w:type="dxa"/>
            <w:tcMar>
              <w:left w:w="105" w:type="dxa"/>
              <w:right w:w="105" w:type="dxa"/>
            </w:tcMar>
          </w:tcPr>
          <w:p w14:paraId="2462CE3D" w14:textId="77777777" w:rsidR="00294518" w:rsidRPr="00525C11" w:rsidRDefault="00294518" w:rsidP="008A7D4E">
            <w:pPr>
              <w:pStyle w:val="Lijstalinea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7D8EC66F" w14:textId="77777777" w:rsidR="00294518" w:rsidRPr="00525C11" w:rsidRDefault="00294518" w:rsidP="008A7D4E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7B11A6F0" w14:textId="77777777" w:rsidR="00445151" w:rsidRDefault="00445151" w:rsidP="008A7D4E">
      <w:pPr>
        <w:pStyle w:val="Lijstalinea"/>
        <w:ind w:left="0"/>
      </w:pPr>
    </w:p>
    <w:p w14:paraId="6F3E319B" w14:textId="2CF49FD1" w:rsidR="00445151" w:rsidRDefault="00445151" w:rsidP="008A7D4E">
      <w:r>
        <w:rPr>
          <w:rFonts w:cs="Tahoma"/>
        </w:rPr>
        <w:lastRenderedPageBreak/>
        <w:t xml:space="preserve">Indien </w:t>
      </w:r>
      <w:r w:rsidR="00FC4B29">
        <w:rPr>
          <w:rFonts w:cs="Tahoma"/>
        </w:rPr>
        <w:t>Opdrachtgever</w:t>
      </w:r>
      <w:r>
        <w:rPr>
          <w:rFonts w:cs="Tahoma"/>
        </w:rPr>
        <w:t xml:space="preserve"> of Opdrachtnemer hier aanleiding toe ziet, kan tussentijds overleg plaatsvinden. </w:t>
      </w:r>
      <w:r>
        <w:t xml:space="preserve">Opdrachtnemer draagt zorg voor de schriftelijke verslaglegging van alle, </w:t>
      </w:r>
      <w:r w:rsidR="00FC4B29">
        <w:t>dus</w:t>
      </w:r>
      <w:r>
        <w:t xml:space="preserve"> ook de tussentijdse, overleggen. Uiterlijk een week na afloop van het overleg wordt het verslag verspreid onder de aanwezige personen.</w:t>
      </w:r>
    </w:p>
    <w:p w14:paraId="2FBB1211" w14:textId="77777777" w:rsidR="00FC4B29" w:rsidRDefault="00FC4B29" w:rsidP="008A7D4E">
      <w:pPr>
        <w:rPr>
          <w:rFonts w:cs="Tahoma"/>
        </w:rPr>
      </w:pPr>
    </w:p>
    <w:p w14:paraId="4ABF6D47" w14:textId="34442CD6" w:rsidR="00D40F7A" w:rsidRDefault="00D40F7A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4.2</w:t>
      </w:r>
      <w:r>
        <w:rPr>
          <w:rFonts w:asciiTheme="minorHAnsi" w:hAnsiTheme="minorHAnsi"/>
        </w:rPr>
        <w:tab/>
        <w:t>Contactpersonen</w:t>
      </w:r>
    </w:p>
    <w:p w14:paraId="57621B41" w14:textId="5627AA5C" w:rsidR="00207BD0" w:rsidRPr="00BB2D01" w:rsidRDefault="00902C8C" w:rsidP="008A7D4E">
      <w:pPr>
        <w:rPr>
          <w:rFonts w:asciiTheme="minorHAnsi" w:hAnsiTheme="minorHAnsi"/>
        </w:rPr>
      </w:pPr>
      <w:r w:rsidRPr="00BB2D01">
        <w:rPr>
          <w:rFonts w:asciiTheme="minorHAnsi" w:hAnsiTheme="minorHAnsi"/>
        </w:rPr>
        <w:t xml:space="preserve">Opdrachtgever en </w:t>
      </w:r>
      <w:r w:rsidR="00141474" w:rsidRPr="00BB2D01">
        <w:rPr>
          <w:rFonts w:asciiTheme="minorHAnsi" w:hAnsiTheme="minorHAnsi"/>
        </w:rPr>
        <w:t>Opdrachtnemer</w:t>
      </w:r>
      <w:r w:rsidR="002F2145" w:rsidRPr="00BB2D01">
        <w:rPr>
          <w:rFonts w:asciiTheme="minorHAnsi" w:hAnsiTheme="minorHAnsi"/>
        </w:rPr>
        <w:t xml:space="preserve"> </w:t>
      </w:r>
      <w:r w:rsidR="00207BD0" w:rsidRPr="00BB2D01">
        <w:rPr>
          <w:rFonts w:asciiTheme="minorHAnsi" w:hAnsiTheme="minorHAnsi"/>
        </w:rPr>
        <w:t>wijzen ieder een contactpersoon binnen de organisatie aan. De contactpersonen zijn namens hun organisatie beslissingsbevoegd over alle aspecten van de overeenkomst.</w:t>
      </w:r>
    </w:p>
    <w:p w14:paraId="63F63B2D" w14:textId="77777777" w:rsidR="00FC4B29" w:rsidRPr="00E34586" w:rsidRDefault="00E91633" w:rsidP="008A7D4E">
      <w:pPr>
        <w:rPr>
          <w:rFonts w:asciiTheme="minorHAnsi" w:hAnsiTheme="minorHAnsi"/>
          <w:color w:val="FF0000"/>
        </w:rPr>
      </w:pPr>
      <w:r w:rsidRPr="00E34586">
        <w:rPr>
          <w:rFonts w:asciiTheme="minorHAnsi" w:hAnsiTheme="minorHAnsi"/>
          <w:color w:val="FF0000"/>
        </w:rPr>
        <w:t>Opdrachtnemer: &lt;naam&gt; &lt;e-mailadres&gt; &lt;telefoonnummer&gt;</w:t>
      </w:r>
    </w:p>
    <w:p w14:paraId="13C38683" w14:textId="341D5297" w:rsidR="00E91633" w:rsidRPr="00E34586" w:rsidRDefault="00E91633" w:rsidP="008A7D4E">
      <w:pPr>
        <w:rPr>
          <w:rFonts w:asciiTheme="minorHAnsi" w:hAnsiTheme="minorHAnsi"/>
          <w:color w:val="FF0000"/>
        </w:rPr>
      </w:pPr>
      <w:r w:rsidRPr="00E34586">
        <w:rPr>
          <w:rFonts w:asciiTheme="minorHAnsi" w:hAnsiTheme="minorHAnsi"/>
          <w:color w:val="FF0000"/>
        </w:rPr>
        <w:t>Opdrachtgever: &lt;naam&gt; &lt;e-mailadres&gt; &lt;telefoonnummer&gt;</w:t>
      </w:r>
    </w:p>
    <w:p w14:paraId="283B7FE1" w14:textId="0DA5A5E5" w:rsidR="00E91633" w:rsidRPr="003B13F5" w:rsidRDefault="00E91633" w:rsidP="008A7D4E">
      <w:pPr>
        <w:rPr>
          <w:rFonts w:asciiTheme="minorHAnsi" w:hAnsiTheme="minorHAnsi"/>
        </w:rPr>
      </w:pPr>
    </w:p>
    <w:p w14:paraId="0961D188" w14:textId="42666C62" w:rsidR="00D40F7A" w:rsidRDefault="00D40F7A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4.3</w:t>
      </w:r>
      <w:r>
        <w:rPr>
          <w:rFonts w:asciiTheme="minorHAnsi" w:hAnsiTheme="minorHAnsi"/>
        </w:rPr>
        <w:tab/>
        <w:t xml:space="preserve">KPI’s </w:t>
      </w:r>
    </w:p>
    <w:p w14:paraId="25539C84" w14:textId="6687F8D4" w:rsidR="00E37D17" w:rsidRPr="00BB2D01" w:rsidRDefault="00D40F7A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E37D17" w:rsidRPr="00BB2D01">
        <w:rPr>
          <w:rFonts w:asciiTheme="minorHAnsi" w:hAnsiTheme="minorHAnsi"/>
        </w:rPr>
        <w:t xml:space="preserve">pdrachtnemer </w:t>
      </w:r>
      <w:r w:rsidR="00BB2D01" w:rsidRPr="00BB2D01">
        <w:rPr>
          <w:rFonts w:asciiTheme="minorHAnsi" w:hAnsiTheme="minorHAnsi"/>
        </w:rPr>
        <w:t xml:space="preserve">dienst periodiek [frequentie nog af te stemmen na gunning] </w:t>
      </w:r>
      <w:r w:rsidR="00E37D17" w:rsidRPr="00BB2D01">
        <w:rPr>
          <w:rFonts w:asciiTheme="minorHAnsi" w:hAnsiTheme="minorHAnsi"/>
        </w:rPr>
        <w:t>aan te tonen dat de KPI</w:t>
      </w:r>
      <w:r w:rsidR="000B5A16" w:rsidRPr="00BB2D01">
        <w:rPr>
          <w:rFonts w:asciiTheme="minorHAnsi" w:hAnsiTheme="minorHAnsi"/>
        </w:rPr>
        <w:t>’</w:t>
      </w:r>
      <w:r w:rsidR="00E37D17" w:rsidRPr="00BB2D01">
        <w:rPr>
          <w:rFonts w:asciiTheme="minorHAnsi" w:hAnsiTheme="minorHAnsi"/>
        </w:rPr>
        <w:t>s</w:t>
      </w:r>
      <w:r w:rsidR="00D44432" w:rsidRPr="00BB2D01">
        <w:rPr>
          <w:rFonts w:asciiTheme="minorHAnsi" w:hAnsiTheme="minorHAnsi"/>
        </w:rPr>
        <w:t xml:space="preserve">, </w:t>
      </w:r>
      <w:r w:rsidR="000B5A16" w:rsidRPr="00BB2D01">
        <w:rPr>
          <w:rFonts w:asciiTheme="minorHAnsi" w:hAnsiTheme="minorHAnsi"/>
        </w:rPr>
        <w:t>zoals in de inschrijving en het programma van eisen</w:t>
      </w:r>
      <w:r w:rsidR="00E37D17" w:rsidRPr="00BB2D01">
        <w:rPr>
          <w:rFonts w:asciiTheme="minorHAnsi" w:hAnsiTheme="minorHAnsi"/>
        </w:rPr>
        <w:t xml:space="preserve"> </w:t>
      </w:r>
      <w:r w:rsidR="00DB0971" w:rsidRPr="00BB2D01">
        <w:rPr>
          <w:rFonts w:asciiTheme="minorHAnsi" w:hAnsiTheme="minorHAnsi"/>
        </w:rPr>
        <w:t xml:space="preserve">benoemd, </w:t>
      </w:r>
      <w:r w:rsidR="00BB2D01" w:rsidRPr="00BB2D01">
        <w:rPr>
          <w:rFonts w:asciiTheme="minorHAnsi" w:hAnsiTheme="minorHAnsi"/>
        </w:rPr>
        <w:t xml:space="preserve">zijn </w:t>
      </w:r>
      <w:r w:rsidR="00E37D17" w:rsidRPr="00BB2D01">
        <w:rPr>
          <w:rFonts w:asciiTheme="minorHAnsi" w:hAnsiTheme="minorHAnsi"/>
        </w:rPr>
        <w:t>behaald. Opdrachtnemer geeft indien gewenst toelichting over de wijze van monitoren en deelt eventuele verbetermaatregelen</w:t>
      </w:r>
      <w:r w:rsidR="00BB2D01" w:rsidRPr="00BB2D01">
        <w:rPr>
          <w:rFonts w:asciiTheme="minorHAnsi" w:hAnsiTheme="minorHAnsi"/>
        </w:rPr>
        <w:t xml:space="preserve"> indien de KPI’s niet behaald zijn</w:t>
      </w:r>
      <w:r w:rsidR="00E37D17" w:rsidRPr="00BB2D01">
        <w:rPr>
          <w:rFonts w:asciiTheme="minorHAnsi" w:hAnsiTheme="minorHAnsi"/>
        </w:rPr>
        <w:t>.</w:t>
      </w:r>
    </w:p>
    <w:p w14:paraId="7C4897D7" w14:textId="77777777" w:rsidR="006E462D" w:rsidRPr="003B13F5" w:rsidRDefault="006E462D" w:rsidP="008A7D4E">
      <w:pPr>
        <w:rPr>
          <w:rFonts w:asciiTheme="minorHAnsi" w:hAnsiTheme="minorHAnsi"/>
        </w:rPr>
      </w:pPr>
    </w:p>
    <w:p w14:paraId="372AC979" w14:textId="630862F3" w:rsidR="00F27C7A" w:rsidRPr="003B13F5" w:rsidRDefault="00F27C7A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D40F7A">
        <w:rPr>
          <w:rFonts w:asciiTheme="minorHAnsi" w:hAnsiTheme="minorHAnsi"/>
          <w:u w:val="single"/>
        </w:rPr>
        <w:t xml:space="preserve">5 – </w:t>
      </w:r>
      <w:r w:rsidRPr="003B13F5">
        <w:rPr>
          <w:rFonts w:asciiTheme="minorHAnsi" w:hAnsiTheme="minorHAnsi"/>
          <w:u w:val="single"/>
        </w:rPr>
        <w:t>Prijzen</w:t>
      </w:r>
      <w:r w:rsidR="00D40F7A">
        <w:rPr>
          <w:rFonts w:asciiTheme="minorHAnsi" w:hAnsiTheme="minorHAnsi"/>
          <w:u w:val="single"/>
        </w:rPr>
        <w:t xml:space="preserve"> </w:t>
      </w:r>
      <w:r w:rsidR="00183AA8" w:rsidRPr="003B13F5">
        <w:rPr>
          <w:rFonts w:asciiTheme="minorHAnsi" w:hAnsiTheme="minorHAnsi"/>
          <w:u w:val="single"/>
        </w:rPr>
        <w:t>en facturering</w:t>
      </w:r>
    </w:p>
    <w:p w14:paraId="6A471F53" w14:textId="7F7ED341" w:rsidR="00F27C7A" w:rsidRDefault="00D40F7A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F27C7A" w:rsidRPr="00E80D3A">
        <w:rPr>
          <w:rFonts w:asciiTheme="minorHAnsi" w:hAnsiTheme="minorHAnsi"/>
        </w:rPr>
        <w:t xml:space="preserve">.1 </w:t>
      </w:r>
      <w:r w:rsidR="00726E7D">
        <w:rPr>
          <w:rFonts w:asciiTheme="minorHAnsi" w:hAnsiTheme="minorHAnsi"/>
        </w:rPr>
        <w:tab/>
      </w:r>
      <w:r w:rsidR="00F27C7A" w:rsidRPr="00E80D3A">
        <w:rPr>
          <w:rFonts w:asciiTheme="minorHAnsi" w:hAnsiTheme="minorHAnsi"/>
        </w:rPr>
        <w:t xml:space="preserve">De prijzen van </w:t>
      </w:r>
      <w:r w:rsidR="00141474" w:rsidRPr="00E80D3A">
        <w:rPr>
          <w:rFonts w:asciiTheme="minorHAnsi" w:hAnsiTheme="minorHAnsi"/>
        </w:rPr>
        <w:t>Opdrachtnemer</w:t>
      </w:r>
      <w:r w:rsidR="00556078" w:rsidRPr="00E80D3A">
        <w:rPr>
          <w:rFonts w:asciiTheme="minorHAnsi" w:hAnsiTheme="minorHAnsi"/>
        </w:rPr>
        <w:t xml:space="preserve"> </w:t>
      </w:r>
      <w:r w:rsidR="00F27C7A" w:rsidRPr="00E80D3A">
        <w:rPr>
          <w:rFonts w:asciiTheme="minorHAnsi" w:hAnsiTheme="minorHAnsi"/>
        </w:rPr>
        <w:t xml:space="preserve">zijn opgenomen in </w:t>
      </w:r>
      <w:r w:rsidR="00002B79" w:rsidRPr="00E80D3A">
        <w:rPr>
          <w:rFonts w:asciiTheme="minorHAnsi" w:hAnsiTheme="minorHAnsi"/>
        </w:rPr>
        <w:t xml:space="preserve">het prijzenblad </w:t>
      </w:r>
      <w:r w:rsidR="00E03EAB" w:rsidRPr="00E80D3A">
        <w:rPr>
          <w:rFonts w:asciiTheme="minorHAnsi" w:hAnsiTheme="minorHAnsi"/>
        </w:rPr>
        <w:t xml:space="preserve">zoals ingediend bij de inschrijving. Dit prijzenblad maakt </w:t>
      </w:r>
      <w:r w:rsidR="00F27C7A" w:rsidRPr="00E80D3A">
        <w:rPr>
          <w:rFonts w:asciiTheme="minorHAnsi" w:hAnsiTheme="minorHAnsi"/>
        </w:rPr>
        <w:t>onderdeel uit</w:t>
      </w:r>
      <w:r w:rsidR="00E03EAB" w:rsidRPr="00E80D3A">
        <w:rPr>
          <w:rFonts w:asciiTheme="minorHAnsi" w:hAnsiTheme="minorHAnsi"/>
        </w:rPr>
        <w:t xml:space="preserve"> </w:t>
      </w:r>
      <w:r w:rsidR="00F27C7A" w:rsidRPr="00E80D3A">
        <w:rPr>
          <w:rFonts w:asciiTheme="minorHAnsi" w:hAnsiTheme="minorHAnsi"/>
        </w:rPr>
        <w:t>van deze overeenkomst. Alle genoemde prijzen zijn exclusief het geldende BTW percentage.</w:t>
      </w:r>
    </w:p>
    <w:p w14:paraId="7D6C9F85" w14:textId="77777777" w:rsidR="00FC4B29" w:rsidRPr="00E80D3A" w:rsidRDefault="00FC4B29" w:rsidP="008A7D4E">
      <w:pPr>
        <w:rPr>
          <w:rFonts w:asciiTheme="minorHAnsi" w:hAnsiTheme="minorHAnsi"/>
        </w:rPr>
      </w:pPr>
    </w:p>
    <w:p w14:paraId="421A418A" w14:textId="78849DF3" w:rsidR="00731797" w:rsidRPr="003B13F5" w:rsidRDefault="00D40F7A" w:rsidP="008A7D4E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9112E5" w:rsidRPr="002E6BF6">
        <w:rPr>
          <w:rFonts w:asciiTheme="minorHAnsi" w:hAnsiTheme="minorHAnsi"/>
        </w:rPr>
        <w:t>.</w:t>
      </w:r>
      <w:r w:rsidR="007E1634">
        <w:rPr>
          <w:rFonts w:asciiTheme="minorHAnsi" w:hAnsiTheme="minorHAnsi"/>
        </w:rPr>
        <w:t>2</w:t>
      </w:r>
      <w:r w:rsidR="00215772" w:rsidRPr="002E6BF6">
        <w:rPr>
          <w:rFonts w:asciiTheme="minorHAnsi" w:hAnsiTheme="minorHAnsi"/>
        </w:rPr>
        <w:t xml:space="preserve"> </w:t>
      </w:r>
      <w:r w:rsidR="00726E7D" w:rsidRPr="002E6BF6">
        <w:rPr>
          <w:rFonts w:asciiTheme="minorHAnsi" w:hAnsiTheme="minorHAnsi"/>
        </w:rPr>
        <w:tab/>
      </w:r>
      <w:r w:rsidR="00902C8C" w:rsidRPr="002E6BF6">
        <w:rPr>
          <w:rFonts w:asciiTheme="minorHAnsi" w:hAnsiTheme="minorHAnsi"/>
        </w:rPr>
        <w:t>Specifieke eisen ten aanzien van de facturatie zijn</w:t>
      </w:r>
      <w:r w:rsidR="002E6BF6" w:rsidRPr="002E6BF6">
        <w:rPr>
          <w:rFonts w:asciiTheme="minorHAnsi" w:hAnsiTheme="minorHAnsi"/>
        </w:rPr>
        <w:t>:</w:t>
      </w:r>
      <w:r w:rsidR="00902C8C" w:rsidRPr="003B13F5">
        <w:rPr>
          <w:rFonts w:asciiTheme="minorHAnsi" w:hAnsiTheme="minorHAnsi"/>
        </w:rPr>
        <w:t xml:space="preserve"> </w:t>
      </w:r>
      <w:r w:rsidR="00FF6DD7" w:rsidRPr="003B13F5">
        <w:rPr>
          <w:rFonts w:asciiTheme="minorHAnsi" w:hAnsiTheme="minorHAnsi"/>
        </w:rPr>
        <w:t xml:space="preserve"> </w:t>
      </w:r>
    </w:p>
    <w:p w14:paraId="5C4097BD" w14:textId="77777777" w:rsidR="00A7075B" w:rsidRPr="00F95EF1" w:rsidRDefault="00A7075B" w:rsidP="008A7D4E">
      <w:pPr>
        <w:pStyle w:val="Lijstalinea"/>
        <w:numPr>
          <w:ilvl w:val="0"/>
          <w:numId w:val="28"/>
        </w:numPr>
        <w:tabs>
          <w:tab w:val="left" w:pos="426"/>
        </w:tabs>
        <w:contextualSpacing/>
        <w:rPr>
          <w:rFonts w:cstheme="minorHAnsi"/>
        </w:rPr>
      </w:pPr>
      <w:r w:rsidRPr="00F95EF1">
        <w:rPr>
          <w:rFonts w:cstheme="minorHAnsi"/>
        </w:rPr>
        <w:t>De tenaamstelling van facturen is als volgt:</w:t>
      </w:r>
    </w:p>
    <w:p w14:paraId="350A2313" w14:textId="77777777" w:rsidR="00A7075B" w:rsidRPr="00C053D5" w:rsidRDefault="00A7075B" w:rsidP="008A7D4E">
      <w:pPr>
        <w:pStyle w:val="Lijstalinea"/>
        <w:autoSpaceDE w:val="0"/>
        <w:autoSpaceDN w:val="0"/>
        <w:adjustRightInd w:val="0"/>
        <w:ind w:left="284"/>
        <w:rPr>
          <w:rFonts w:cstheme="minorHAnsi"/>
        </w:rPr>
      </w:pPr>
      <w:r w:rsidRPr="00C053D5">
        <w:rPr>
          <w:rFonts w:cstheme="minorHAnsi"/>
        </w:rPr>
        <w:t>Stichting ROC Midden Nederland</w:t>
      </w:r>
    </w:p>
    <w:p w14:paraId="60F05B94" w14:textId="77777777" w:rsidR="00A7075B" w:rsidRPr="00C053D5" w:rsidRDefault="00A7075B" w:rsidP="008A7D4E">
      <w:pPr>
        <w:pStyle w:val="Lijstalinea"/>
        <w:autoSpaceDE w:val="0"/>
        <w:autoSpaceDN w:val="0"/>
        <w:adjustRightInd w:val="0"/>
        <w:ind w:left="284"/>
        <w:rPr>
          <w:rFonts w:cstheme="minorHAnsi"/>
        </w:rPr>
      </w:pPr>
      <w:r w:rsidRPr="00C053D5">
        <w:rPr>
          <w:rFonts w:cstheme="minorHAnsi"/>
        </w:rPr>
        <w:t>T.a.v. financiële administratie</w:t>
      </w:r>
    </w:p>
    <w:p w14:paraId="7FF62822" w14:textId="77777777" w:rsidR="00A7075B" w:rsidRDefault="00A7075B" w:rsidP="008A7D4E">
      <w:pPr>
        <w:pStyle w:val="Lijstalinea"/>
        <w:autoSpaceDE w:val="0"/>
        <w:autoSpaceDN w:val="0"/>
        <w:adjustRightInd w:val="0"/>
        <w:ind w:left="284"/>
        <w:rPr>
          <w:rFonts w:cstheme="minorHAnsi"/>
        </w:rPr>
      </w:pPr>
      <w:r w:rsidRPr="00C053D5">
        <w:rPr>
          <w:rFonts w:cstheme="minorHAnsi"/>
        </w:rPr>
        <w:t>Postbus 3065</w:t>
      </w:r>
    </w:p>
    <w:p w14:paraId="216EABB8" w14:textId="77777777" w:rsidR="00A7075B" w:rsidRPr="00FE3B93" w:rsidRDefault="00A7075B" w:rsidP="008A7D4E">
      <w:pPr>
        <w:pStyle w:val="Lijstalinea"/>
        <w:autoSpaceDE w:val="0"/>
        <w:autoSpaceDN w:val="0"/>
        <w:adjustRightInd w:val="0"/>
        <w:ind w:left="284"/>
        <w:rPr>
          <w:rFonts w:cstheme="minorHAnsi"/>
        </w:rPr>
      </w:pPr>
      <w:r>
        <w:rPr>
          <w:rFonts w:cstheme="minorHAnsi"/>
        </w:rPr>
        <w:t xml:space="preserve">3502 </w:t>
      </w:r>
      <w:r w:rsidRPr="00FE3B93">
        <w:rPr>
          <w:rFonts w:cstheme="minorHAnsi"/>
        </w:rPr>
        <w:t>GB Utrecht</w:t>
      </w:r>
    </w:p>
    <w:p w14:paraId="2DBE85FD" w14:textId="77777777" w:rsidR="00A7075B" w:rsidRPr="00F95EF1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Style w:val="Hyperlink"/>
          <w:rFonts w:cstheme="minorHAnsi"/>
        </w:rPr>
      </w:pPr>
      <w:r w:rsidRPr="00F95EF1">
        <w:rPr>
          <w:rFonts w:cstheme="minorHAnsi"/>
        </w:rPr>
        <w:t xml:space="preserve">De factuur dient enkel digitaal als PDF-document gemaild te worden naar </w:t>
      </w:r>
      <w:hyperlink r:id="rId11" w:history="1">
        <w:r w:rsidRPr="00F20C78">
          <w:rPr>
            <w:rStyle w:val="Hyperlink"/>
            <w:rFonts w:cstheme="minorHAnsi"/>
          </w:rPr>
          <w:t>facturen@rocmn.nl</w:t>
        </w:r>
      </w:hyperlink>
    </w:p>
    <w:p w14:paraId="01271414" w14:textId="77777777" w:rsidR="00A7075B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F95EF1">
        <w:rPr>
          <w:rFonts w:cstheme="minorHAnsi"/>
        </w:rPr>
        <w:t xml:space="preserve">Facturen zullen binnen 30 dagen, zijnde de wettelijke termijn, na de factuurdatum worden betaald. </w:t>
      </w:r>
    </w:p>
    <w:p w14:paraId="5339FC96" w14:textId="77777777" w:rsidR="00A7075B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F95EF1">
        <w:rPr>
          <w:rFonts w:cstheme="minorHAnsi"/>
        </w:rPr>
        <w:t xml:space="preserve">De vereisten voor het btw-bedrag afronden moeten voldoen aan de richtlijnen van de Belastingdienst. </w:t>
      </w:r>
    </w:p>
    <w:p w14:paraId="729BDE9B" w14:textId="77777777" w:rsidR="00A7075B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F95EF1">
        <w:rPr>
          <w:rFonts w:cstheme="minorHAnsi"/>
        </w:rPr>
        <w:t xml:space="preserve">Inschrijver dient bij creditfacturen aan te geven voor welk origineel factuurnummer de creditfactuur is. </w:t>
      </w:r>
    </w:p>
    <w:p w14:paraId="60B7DCFD" w14:textId="77777777" w:rsidR="00A7075B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F95EF1">
        <w:rPr>
          <w:rFonts w:cstheme="minorHAnsi"/>
        </w:rPr>
        <w:t xml:space="preserve">Facturen voor vooruitbetalingen worden niet geaccepteerd. </w:t>
      </w:r>
    </w:p>
    <w:p w14:paraId="08A5B958" w14:textId="77777777" w:rsidR="00A7075B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F95EF1">
        <w:rPr>
          <w:rFonts w:cstheme="minorHAnsi"/>
        </w:rPr>
        <w:t xml:space="preserve">Facturen moeten uiterlijk binnen 3 maanden na uitvoering van de opdracht ingediend zijn. Bij latere indiening is ROC MN niet langer verplicht tot betaling. </w:t>
      </w:r>
    </w:p>
    <w:p w14:paraId="58C419DE" w14:textId="77777777" w:rsidR="00A7075B" w:rsidRPr="00CE119E" w:rsidRDefault="00A7075B" w:rsidP="008A7D4E">
      <w:pPr>
        <w:pStyle w:val="Lijstalinea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cstheme="minorHAnsi"/>
        </w:rPr>
      </w:pPr>
      <w:r w:rsidRPr="00CE119E">
        <w:rPr>
          <w:rFonts w:cstheme="minorHAnsi"/>
        </w:rPr>
        <w:t>Ten tijde van implementatie worden nadere afspraken over een logische inrichting van de facturatie, bijv. per maand, referentienummers, etc. gemaakt. Deze nadere afspraken worden in de overeenkomst opgenomen.</w:t>
      </w:r>
    </w:p>
    <w:p w14:paraId="384E9530" w14:textId="77777777" w:rsidR="007E1634" w:rsidRDefault="007E1634" w:rsidP="008A7D4E">
      <w:pPr>
        <w:rPr>
          <w:rFonts w:asciiTheme="minorHAnsi" w:hAnsiTheme="minorHAnsi"/>
          <w:color w:val="FF0000"/>
        </w:rPr>
      </w:pPr>
    </w:p>
    <w:p w14:paraId="2384AAD8" w14:textId="6190E174" w:rsidR="009911F4" w:rsidRPr="009911F4" w:rsidRDefault="009911F4" w:rsidP="008A7D4E">
      <w:pPr>
        <w:rPr>
          <w:rFonts w:cs="Tahoma"/>
          <w:szCs w:val="18"/>
          <w:u w:val="single"/>
        </w:rPr>
      </w:pPr>
      <w:r w:rsidRPr="009911F4">
        <w:rPr>
          <w:rFonts w:cs="Tahoma"/>
          <w:szCs w:val="18"/>
          <w:u w:val="single"/>
        </w:rPr>
        <w:lastRenderedPageBreak/>
        <w:t xml:space="preserve">Artikel </w:t>
      </w:r>
      <w:r w:rsidR="00A7075B">
        <w:rPr>
          <w:rFonts w:cs="Tahoma"/>
          <w:szCs w:val="18"/>
          <w:u w:val="single"/>
        </w:rPr>
        <w:t>6</w:t>
      </w:r>
      <w:r>
        <w:rPr>
          <w:rFonts w:cs="Tahoma"/>
          <w:szCs w:val="18"/>
          <w:u w:val="single"/>
        </w:rPr>
        <w:t xml:space="preserve"> </w:t>
      </w:r>
      <w:r w:rsidRPr="009911F4">
        <w:rPr>
          <w:rFonts w:cs="Tahoma"/>
          <w:szCs w:val="18"/>
          <w:u w:val="single"/>
        </w:rPr>
        <w:t>Indexering</w:t>
      </w:r>
    </w:p>
    <w:p w14:paraId="32DD50BA" w14:textId="77777777" w:rsidR="00506C3F" w:rsidRDefault="00506C3F" w:rsidP="008A7D4E">
      <w:pPr>
        <w:pStyle w:val="Plattetekst"/>
        <w:kinsoku w:val="0"/>
        <w:overflowPunct w:val="0"/>
        <w:spacing w:after="0"/>
      </w:pPr>
      <w:r>
        <w:t>De overeengekomen prijzen kunnen op verzoek van opdrachtnemer, na toestemming van ROC MN</w:t>
      </w:r>
    </w:p>
    <w:p w14:paraId="6F6EAFEE" w14:textId="77777777" w:rsidR="00506C3F" w:rsidRDefault="00506C3F" w:rsidP="008A7D4E">
      <w:pPr>
        <w:pStyle w:val="Plattetekst"/>
        <w:kinsoku w:val="0"/>
        <w:overflowPunct w:val="0"/>
        <w:spacing w:after="0"/>
      </w:pPr>
      <w:r>
        <w:t xml:space="preserve">éénmaal per kalenderjaar, voor het eerst per 1 januari 2025 worden aangepast overeenkomstig de CBS index zakelijke dienstverlening SBI 2008, 2018 = 100. </w:t>
      </w:r>
    </w:p>
    <w:p w14:paraId="04603ECB" w14:textId="77777777" w:rsidR="00506C3F" w:rsidRDefault="00506C3F" w:rsidP="008A7D4E">
      <w:pPr>
        <w:pStyle w:val="Plattetekst"/>
        <w:kinsoku w:val="0"/>
        <w:overflowPunct w:val="0"/>
        <w:spacing w:after="0"/>
      </w:pPr>
      <w:r>
        <w:t>Tenminste 2 maanden</w:t>
      </w:r>
      <w:r w:rsidRPr="00A81F9F">
        <w:rPr>
          <w:spacing w:val="-1"/>
        </w:rPr>
        <w:t xml:space="preserve"> </w:t>
      </w:r>
      <w:r>
        <w:t>van</w:t>
      </w:r>
      <w:r w:rsidRPr="00A81F9F">
        <w:rPr>
          <w:spacing w:val="-1"/>
        </w:rPr>
        <w:t xml:space="preserve"> </w:t>
      </w:r>
      <w:r>
        <w:t>tevoren dient uw schriftelijke verzoek met onderbouwing om indexering toe te passen</w:t>
      </w:r>
      <w:r w:rsidRPr="00A81F9F">
        <w:rPr>
          <w:spacing w:val="-1"/>
        </w:rPr>
        <w:t xml:space="preserve"> </w:t>
      </w:r>
      <w:r>
        <w:t>te zijn</w:t>
      </w:r>
      <w:r w:rsidRPr="00A81F9F">
        <w:rPr>
          <w:spacing w:val="-1"/>
        </w:rPr>
        <w:t xml:space="preserve"> </w:t>
      </w:r>
      <w:r>
        <w:t>ontvangen door onze contactpersoon. Pas na schriftelijk akkoord</w:t>
      </w:r>
      <w:r w:rsidRPr="00A81F9F">
        <w:rPr>
          <w:spacing w:val="-1"/>
        </w:rPr>
        <w:t xml:space="preserve"> </w:t>
      </w:r>
      <w:r>
        <w:t>van ROC MN kan de aanpassing doorgevoerd</w:t>
      </w:r>
      <w:r w:rsidRPr="00A81F9F">
        <w:rPr>
          <w:spacing w:val="-1"/>
        </w:rPr>
        <w:t xml:space="preserve"> </w:t>
      </w:r>
      <w:r>
        <w:t>worden. De indexatie wordt volgens de jaar op jaar methode als volgt berekend: oude prijs x (CBS index december huidig jaar / CBS index december voorgaand jaar) = nieuwe prijs.</w:t>
      </w:r>
    </w:p>
    <w:p w14:paraId="2C8C5B4F" w14:textId="77777777" w:rsidR="00506C3F" w:rsidRDefault="00506C3F" w:rsidP="008A7D4E">
      <w:pPr>
        <w:pStyle w:val="Plattetekst"/>
        <w:kinsoku w:val="0"/>
        <w:overflowPunct w:val="0"/>
        <w:spacing w:after="0"/>
      </w:pPr>
    </w:p>
    <w:p w14:paraId="225738CF" w14:textId="673BED4C" w:rsidR="00355C99" w:rsidRPr="003B13F5" w:rsidRDefault="00355C99" w:rsidP="008A7D4E">
      <w:pPr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506C3F">
        <w:rPr>
          <w:rFonts w:asciiTheme="minorHAnsi" w:hAnsiTheme="minorHAnsi"/>
          <w:u w:val="single"/>
        </w:rPr>
        <w:t xml:space="preserve">7 – </w:t>
      </w:r>
      <w:r w:rsidRPr="003B13F5">
        <w:rPr>
          <w:rFonts w:asciiTheme="minorHAnsi" w:hAnsiTheme="minorHAnsi"/>
          <w:u w:val="single"/>
        </w:rPr>
        <w:t>Wijzigingen</w:t>
      </w:r>
      <w:r w:rsidR="00506C3F">
        <w:rPr>
          <w:rFonts w:asciiTheme="minorHAnsi" w:hAnsiTheme="minorHAnsi"/>
          <w:u w:val="single"/>
        </w:rPr>
        <w:t xml:space="preserve"> </w:t>
      </w:r>
      <w:r w:rsidRPr="003B13F5">
        <w:rPr>
          <w:rFonts w:asciiTheme="minorHAnsi" w:hAnsiTheme="minorHAnsi"/>
          <w:u w:val="single"/>
        </w:rPr>
        <w:t>van de overeenkomst</w:t>
      </w:r>
    </w:p>
    <w:p w14:paraId="1DEBA354" w14:textId="2D028F57" w:rsidR="00355C99" w:rsidRPr="003B13F5" w:rsidRDefault="00355C99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Wijzigingen op deze overeenkomst zijn slechts bindend indien ze schriftelijk zijn vastgelegd in de vorm van een door Partijen ondertekend addendum, welk</w:t>
      </w:r>
      <w:r w:rsidR="00D234B2" w:rsidRPr="003B13F5">
        <w:rPr>
          <w:rFonts w:asciiTheme="minorHAnsi" w:hAnsiTheme="minorHAnsi"/>
        </w:rPr>
        <w:t>e</w:t>
      </w:r>
      <w:r w:rsidRPr="003B13F5">
        <w:rPr>
          <w:rFonts w:asciiTheme="minorHAnsi" w:hAnsiTheme="minorHAnsi"/>
        </w:rPr>
        <w:t xml:space="preserve"> vervolgens onlosmakelijk onderdeel vormt van de overeenkomst.</w:t>
      </w:r>
    </w:p>
    <w:p w14:paraId="73E5852F" w14:textId="77777777" w:rsidR="00355C99" w:rsidRDefault="00355C99" w:rsidP="008A7D4E">
      <w:pPr>
        <w:rPr>
          <w:rFonts w:asciiTheme="minorHAnsi" w:hAnsiTheme="minorHAnsi"/>
        </w:rPr>
      </w:pPr>
    </w:p>
    <w:p w14:paraId="47335AB4" w14:textId="05FDEF2C" w:rsidR="00355C99" w:rsidRPr="003B13F5" w:rsidRDefault="00CF0618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506C3F">
        <w:rPr>
          <w:rFonts w:asciiTheme="minorHAnsi" w:hAnsiTheme="minorHAnsi"/>
          <w:u w:val="single"/>
        </w:rPr>
        <w:t xml:space="preserve">8 – </w:t>
      </w:r>
      <w:r w:rsidRPr="003B13F5">
        <w:rPr>
          <w:rFonts w:asciiTheme="minorHAnsi" w:hAnsiTheme="minorHAnsi"/>
          <w:u w:val="single"/>
        </w:rPr>
        <w:t>O</w:t>
      </w:r>
      <w:r w:rsidR="00355C99" w:rsidRPr="003B13F5">
        <w:rPr>
          <w:rFonts w:asciiTheme="minorHAnsi" w:hAnsiTheme="minorHAnsi"/>
          <w:u w:val="single"/>
        </w:rPr>
        <w:t>verdracht</w:t>
      </w:r>
      <w:r w:rsidR="00506C3F">
        <w:rPr>
          <w:rFonts w:asciiTheme="minorHAnsi" w:hAnsiTheme="minorHAnsi"/>
          <w:u w:val="single"/>
        </w:rPr>
        <w:t xml:space="preserve"> </w:t>
      </w:r>
      <w:r w:rsidR="00355C99" w:rsidRPr="003B13F5">
        <w:rPr>
          <w:rFonts w:asciiTheme="minorHAnsi" w:hAnsiTheme="minorHAnsi"/>
          <w:u w:val="single"/>
        </w:rPr>
        <w:t>rechten en verplichtingen</w:t>
      </w:r>
    </w:p>
    <w:p w14:paraId="58807BA8" w14:textId="67FEA008" w:rsidR="00355C99" w:rsidRPr="003B13F5" w:rsidRDefault="00506C3F" w:rsidP="008A7D4E">
      <w:pPr>
        <w:keepNext/>
        <w:keepLines/>
        <w:rPr>
          <w:rFonts w:asciiTheme="minorHAnsi" w:hAnsiTheme="minorHAnsi"/>
          <w:lang w:eastAsia="nl-BE"/>
        </w:rPr>
      </w:pPr>
      <w:r>
        <w:rPr>
          <w:rFonts w:asciiTheme="minorHAnsi" w:hAnsiTheme="minorHAnsi"/>
          <w:lang w:eastAsia="nl-BE"/>
        </w:rPr>
        <w:t>8</w:t>
      </w:r>
      <w:r w:rsidR="00355C99" w:rsidRPr="003B13F5">
        <w:rPr>
          <w:rFonts w:asciiTheme="minorHAnsi" w:hAnsiTheme="minorHAnsi"/>
          <w:lang w:eastAsia="nl-BE"/>
        </w:rPr>
        <w:t xml:space="preserve">.1 </w:t>
      </w:r>
      <w:r w:rsidR="00726E7D">
        <w:rPr>
          <w:rFonts w:asciiTheme="minorHAnsi" w:hAnsiTheme="minorHAnsi"/>
          <w:lang w:eastAsia="nl-BE"/>
        </w:rPr>
        <w:tab/>
      </w:r>
      <w:r w:rsidR="00355C99" w:rsidRPr="003B13F5">
        <w:rPr>
          <w:rFonts w:asciiTheme="minorHAnsi" w:hAnsiTheme="minorHAnsi"/>
          <w:lang w:eastAsia="nl-BE"/>
        </w:rPr>
        <w:t>Opdrachtnemer is niet gerechtigd de rechten en verplichtingen uit deze Raamovereenkomst zonder schriftelijke toestemming van Opdrachtgever aan een derde over te dragen.</w:t>
      </w:r>
    </w:p>
    <w:p w14:paraId="3B2A2B52" w14:textId="62892E22" w:rsidR="00355C99" w:rsidRPr="003B13F5" w:rsidRDefault="00506C3F" w:rsidP="008A7D4E">
      <w:pPr>
        <w:keepNext/>
        <w:keepLines/>
        <w:rPr>
          <w:rFonts w:asciiTheme="minorHAnsi" w:hAnsiTheme="minorHAnsi"/>
          <w:lang w:eastAsia="nl-BE"/>
        </w:rPr>
      </w:pPr>
      <w:r>
        <w:rPr>
          <w:rFonts w:asciiTheme="minorHAnsi" w:hAnsiTheme="minorHAnsi"/>
          <w:lang w:eastAsia="nl-BE"/>
        </w:rPr>
        <w:t>8</w:t>
      </w:r>
      <w:r w:rsidR="00355C99" w:rsidRPr="003B13F5">
        <w:rPr>
          <w:rFonts w:asciiTheme="minorHAnsi" w:hAnsiTheme="minorHAnsi"/>
          <w:lang w:eastAsia="nl-BE"/>
        </w:rPr>
        <w:t xml:space="preserve">.2 </w:t>
      </w:r>
      <w:r w:rsidR="00726E7D">
        <w:rPr>
          <w:rFonts w:asciiTheme="minorHAnsi" w:hAnsiTheme="minorHAnsi"/>
          <w:lang w:eastAsia="nl-BE"/>
        </w:rPr>
        <w:tab/>
      </w:r>
      <w:r w:rsidR="00355C99" w:rsidRPr="003B13F5">
        <w:rPr>
          <w:rFonts w:asciiTheme="minorHAnsi" w:hAnsiTheme="minorHAnsi"/>
          <w:lang w:eastAsia="nl-BE"/>
        </w:rPr>
        <w:t>Opdrachtgever is gerechtigd aan het verlenen van deze toestemming voorwaarden te verbinden.</w:t>
      </w:r>
    </w:p>
    <w:p w14:paraId="6EEDCBF6" w14:textId="77777777" w:rsidR="00C678A9" w:rsidRDefault="00C678A9" w:rsidP="008A7D4E">
      <w:pPr>
        <w:rPr>
          <w:rFonts w:asciiTheme="minorHAnsi" w:hAnsiTheme="minorHAnsi"/>
          <w:u w:val="single"/>
        </w:rPr>
      </w:pPr>
    </w:p>
    <w:p w14:paraId="3A79AD05" w14:textId="269C2868" w:rsidR="000A2F7A" w:rsidRPr="00064CD0" w:rsidRDefault="000A2F7A" w:rsidP="008A7D4E">
      <w:pPr>
        <w:rPr>
          <w:rFonts w:asciiTheme="minorHAnsi" w:hAnsiTheme="minorHAnsi"/>
          <w:color w:val="FF0000"/>
          <w:u w:val="single"/>
        </w:rPr>
      </w:pPr>
      <w:r w:rsidRPr="00064CD0">
        <w:rPr>
          <w:rFonts w:asciiTheme="minorHAnsi" w:hAnsiTheme="minorHAnsi"/>
          <w:color w:val="FF0000"/>
          <w:u w:val="single"/>
        </w:rPr>
        <w:t>Artikel 9 – Aanvullende voorwaarden</w:t>
      </w:r>
    </w:p>
    <w:p w14:paraId="1E97E620" w14:textId="0EAF30F0" w:rsidR="000A2F7A" w:rsidRPr="00064CD0" w:rsidRDefault="00E704BD" w:rsidP="008A7D4E">
      <w:pPr>
        <w:rPr>
          <w:rFonts w:asciiTheme="minorHAnsi" w:hAnsiTheme="minorHAnsi"/>
          <w:color w:val="FF0000"/>
        </w:rPr>
      </w:pPr>
      <w:r w:rsidRPr="00064CD0">
        <w:rPr>
          <w:rFonts w:asciiTheme="minorHAnsi" w:hAnsiTheme="minorHAnsi"/>
          <w:color w:val="FF0000"/>
        </w:rPr>
        <w:t xml:space="preserve">In aanvulling op artikel 14 van de inkoopvoorwaarden, wordt het volgende overeengekomen: </w:t>
      </w:r>
    </w:p>
    <w:p w14:paraId="4187D150" w14:textId="68A12709" w:rsidR="000A2F7A" w:rsidRPr="00064CD0" w:rsidRDefault="00E704BD" w:rsidP="00E704BD">
      <w:pPr>
        <w:pStyle w:val="Lijstalinea"/>
        <w:numPr>
          <w:ilvl w:val="0"/>
          <w:numId w:val="30"/>
        </w:numPr>
        <w:rPr>
          <w:rFonts w:asciiTheme="minorHAnsi" w:hAnsiTheme="minorHAnsi"/>
          <w:color w:val="FF0000"/>
        </w:rPr>
      </w:pPr>
      <w:r w:rsidRPr="00064CD0">
        <w:rPr>
          <w:rFonts w:asciiTheme="minorHAnsi" w:hAnsiTheme="minorHAnsi"/>
          <w:color w:val="FF0000"/>
        </w:rPr>
        <w:t>Opdrachtnemer</w:t>
      </w:r>
      <w:r w:rsidR="000A2F7A" w:rsidRPr="00064CD0">
        <w:rPr>
          <w:rFonts w:asciiTheme="minorHAnsi" w:hAnsiTheme="minorHAnsi"/>
          <w:color w:val="FF0000"/>
        </w:rPr>
        <w:t xml:space="preserve"> levert een SaaS dienst waar </w:t>
      </w:r>
      <w:r w:rsidRPr="00064CD0">
        <w:rPr>
          <w:rFonts w:asciiTheme="minorHAnsi" w:hAnsiTheme="minorHAnsi"/>
          <w:color w:val="FF0000"/>
        </w:rPr>
        <w:t xml:space="preserve">Opdrachtgever </w:t>
      </w:r>
      <w:r w:rsidR="000A2F7A" w:rsidRPr="00064CD0">
        <w:rPr>
          <w:rFonts w:asciiTheme="minorHAnsi" w:hAnsiTheme="minorHAnsi"/>
          <w:color w:val="FF0000"/>
        </w:rPr>
        <w:t xml:space="preserve">gedurende de looptijd van het contract een licentie voor het gebruik van heeft. Na afloop van de overeenkomst vervalt deze licentie. Het uitvoeren van de overeenkomst door </w:t>
      </w:r>
      <w:r w:rsidR="000E4EFA" w:rsidRPr="00064CD0">
        <w:rPr>
          <w:rFonts w:asciiTheme="minorHAnsi" w:hAnsiTheme="minorHAnsi"/>
          <w:color w:val="FF0000"/>
        </w:rPr>
        <w:t xml:space="preserve">opdrachtnemer </w:t>
      </w:r>
      <w:r w:rsidR="000A2F7A" w:rsidRPr="00064CD0">
        <w:rPr>
          <w:rFonts w:asciiTheme="minorHAnsi" w:hAnsiTheme="minorHAnsi"/>
          <w:color w:val="FF0000"/>
        </w:rPr>
        <w:t xml:space="preserve">houdt niet in de overdracht van intellectuele eigendomsrechten die bij </w:t>
      </w:r>
      <w:r w:rsidR="000E4EFA" w:rsidRPr="00064CD0">
        <w:rPr>
          <w:rFonts w:asciiTheme="minorHAnsi" w:hAnsiTheme="minorHAnsi"/>
          <w:color w:val="FF0000"/>
        </w:rPr>
        <w:t xml:space="preserve">hem </w:t>
      </w:r>
      <w:r w:rsidR="000A2F7A" w:rsidRPr="00064CD0">
        <w:rPr>
          <w:rFonts w:asciiTheme="minorHAnsi" w:hAnsiTheme="minorHAnsi"/>
          <w:color w:val="FF0000"/>
        </w:rPr>
        <w:t xml:space="preserve">rusten. Alle intellectuele eigendomsrechten die ontstaan tijdens, of voortvloeien uit, de uitvoering van de overeenkomst behoren toe aan </w:t>
      </w:r>
      <w:r w:rsidR="000E4EFA" w:rsidRPr="00064CD0">
        <w:rPr>
          <w:rFonts w:asciiTheme="minorHAnsi" w:hAnsiTheme="minorHAnsi"/>
          <w:color w:val="FF0000"/>
        </w:rPr>
        <w:t>Opdrachtnemer</w:t>
      </w:r>
      <w:r w:rsidR="000A2F7A" w:rsidRPr="00064CD0">
        <w:rPr>
          <w:rFonts w:asciiTheme="minorHAnsi" w:hAnsiTheme="minorHAnsi"/>
          <w:color w:val="FF0000"/>
        </w:rPr>
        <w:t xml:space="preserve">. Het is </w:t>
      </w:r>
      <w:r w:rsidR="000E4EFA" w:rsidRPr="00064CD0">
        <w:rPr>
          <w:rFonts w:asciiTheme="minorHAnsi" w:hAnsiTheme="minorHAnsi"/>
          <w:color w:val="FF0000"/>
        </w:rPr>
        <w:t xml:space="preserve">Opdrachtgever </w:t>
      </w:r>
      <w:r w:rsidR="000A2F7A" w:rsidRPr="00064CD0">
        <w:rPr>
          <w:rFonts w:asciiTheme="minorHAnsi" w:hAnsiTheme="minorHAnsi"/>
          <w:color w:val="FF0000"/>
        </w:rPr>
        <w:t xml:space="preserve">uitdrukkelijk verboden om de producten waarin intellectuele eigendomsrechten van </w:t>
      </w:r>
      <w:r w:rsidR="000E4EFA" w:rsidRPr="00064CD0">
        <w:rPr>
          <w:rFonts w:asciiTheme="minorHAnsi" w:hAnsiTheme="minorHAnsi"/>
          <w:color w:val="FF0000"/>
        </w:rPr>
        <w:t xml:space="preserve">Opdrachtnemer </w:t>
      </w:r>
      <w:r w:rsidR="000A2F7A" w:rsidRPr="00064CD0">
        <w:rPr>
          <w:rFonts w:asciiTheme="minorHAnsi" w:hAnsiTheme="minorHAnsi"/>
          <w:color w:val="FF0000"/>
        </w:rPr>
        <w:t xml:space="preserve">zijn vervat, dan wel producten waarop intellectuele eigendomsrechten rusten met betrekking tot het gebruik waarvan </w:t>
      </w:r>
      <w:r w:rsidR="000E4EFA" w:rsidRPr="00064CD0">
        <w:rPr>
          <w:rFonts w:asciiTheme="minorHAnsi" w:hAnsiTheme="minorHAnsi"/>
          <w:color w:val="FF0000"/>
        </w:rPr>
        <w:t xml:space="preserve">Opdrachtnemer </w:t>
      </w:r>
      <w:r w:rsidR="000A2F7A" w:rsidRPr="00064CD0">
        <w:rPr>
          <w:rFonts w:asciiTheme="minorHAnsi" w:hAnsiTheme="minorHAnsi"/>
          <w:color w:val="FF0000"/>
        </w:rPr>
        <w:t>gebruiksrechten heeft verworven te verveelvoudigen, te openbaren of te exploiteren.</w:t>
      </w:r>
    </w:p>
    <w:p w14:paraId="494B5936" w14:textId="77777777" w:rsidR="000A2F7A" w:rsidRPr="003B13F5" w:rsidRDefault="000A2F7A" w:rsidP="008A7D4E">
      <w:pPr>
        <w:rPr>
          <w:rFonts w:asciiTheme="minorHAnsi" w:hAnsiTheme="minorHAnsi"/>
          <w:u w:val="single"/>
        </w:rPr>
      </w:pPr>
    </w:p>
    <w:p w14:paraId="55387BD7" w14:textId="5B0209DE" w:rsidR="006933D8" w:rsidRPr="003B13F5" w:rsidRDefault="006933D8" w:rsidP="008A7D4E">
      <w:pPr>
        <w:rPr>
          <w:rFonts w:asciiTheme="minorHAnsi" w:hAnsiTheme="minorHAnsi"/>
        </w:rPr>
      </w:pPr>
      <w:r w:rsidRPr="003B13F5">
        <w:rPr>
          <w:rFonts w:asciiTheme="minorHAnsi" w:hAnsiTheme="minorHAnsi"/>
        </w:rPr>
        <w:t>Aldus overeengekomen en in tweevoud getekend te ……………………….. op ……………………………..</w:t>
      </w:r>
    </w:p>
    <w:p w14:paraId="43053674" w14:textId="77777777" w:rsidR="00AD744A" w:rsidRPr="00AD744A" w:rsidRDefault="00AD744A" w:rsidP="008A7D4E">
      <w:pPr>
        <w:rPr>
          <w:rFonts w:asciiTheme="minorHAnsi" w:hAnsiTheme="minorHAnsi"/>
        </w:rPr>
      </w:pPr>
    </w:p>
    <w:p w14:paraId="6A0915EA" w14:textId="77777777" w:rsidR="00711398" w:rsidRPr="00AD744A" w:rsidRDefault="00711398" w:rsidP="008A7D4E">
      <w:pPr>
        <w:rPr>
          <w:rFonts w:asciiTheme="minorHAnsi" w:hAnsiTheme="minorHAnsi"/>
        </w:rPr>
      </w:pPr>
    </w:p>
    <w:p w14:paraId="6CF638B7" w14:textId="406D1118" w:rsidR="00E03EAB" w:rsidRPr="00AD744A" w:rsidRDefault="008A7D4E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Stichting ROC Midden Nederland</w:t>
      </w:r>
      <w:r w:rsidR="00E03EAB" w:rsidRPr="00AD744A">
        <w:rPr>
          <w:rFonts w:asciiTheme="minorHAnsi" w:hAnsiTheme="minorHAnsi"/>
        </w:rPr>
        <w:tab/>
      </w:r>
      <w:r w:rsidR="00E03EAB" w:rsidRPr="00AD744A">
        <w:rPr>
          <w:rFonts w:asciiTheme="minorHAnsi" w:hAnsiTheme="minorHAnsi"/>
        </w:rPr>
        <w:tab/>
      </w:r>
      <w:r w:rsidR="00E03EAB" w:rsidRPr="00AD744A">
        <w:rPr>
          <w:rFonts w:asciiTheme="minorHAnsi" w:hAnsiTheme="minorHAnsi"/>
        </w:rPr>
        <w:tab/>
        <w:t>&lt; Opdrachtnemer&gt;</w:t>
      </w:r>
    </w:p>
    <w:p w14:paraId="6909DE46" w14:textId="3CEABADE" w:rsidR="00D01804" w:rsidRPr="00AD744A" w:rsidRDefault="00D01804" w:rsidP="008A7D4E">
      <w:pPr>
        <w:rPr>
          <w:rFonts w:asciiTheme="minorHAnsi" w:hAnsiTheme="minorHAnsi"/>
        </w:rPr>
      </w:pPr>
    </w:p>
    <w:p w14:paraId="314DF9A5" w14:textId="69140B09" w:rsidR="00E03EAB" w:rsidRPr="00AD744A" w:rsidRDefault="008A7D4E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P.M. van der Klok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03EAB" w:rsidRPr="00AD744A">
        <w:rPr>
          <w:rFonts w:asciiTheme="minorHAnsi" w:hAnsiTheme="minorHAnsi"/>
        </w:rPr>
        <w:tab/>
      </w:r>
      <w:r w:rsidR="00E03EAB" w:rsidRPr="00AD744A">
        <w:rPr>
          <w:rFonts w:asciiTheme="minorHAnsi" w:hAnsiTheme="minorHAnsi"/>
        </w:rPr>
        <w:tab/>
        <w:t>&lt; naam rechtsgeldig vertegenwoordiger&gt;</w:t>
      </w:r>
    </w:p>
    <w:p w14:paraId="3CEE9C05" w14:textId="5E1DB860" w:rsidR="00E03EAB" w:rsidRPr="00AD744A" w:rsidRDefault="008A7D4E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Directeur Facilitair Bedrijf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03EAB" w:rsidRPr="00AD744A">
        <w:rPr>
          <w:rFonts w:asciiTheme="minorHAnsi" w:hAnsiTheme="minorHAnsi"/>
        </w:rPr>
        <w:tab/>
        <w:t>&lt;functie rechtsgeldig vertegenwoordiger&gt;</w:t>
      </w:r>
    </w:p>
    <w:p w14:paraId="3A60E515" w14:textId="77777777" w:rsidR="00711398" w:rsidRPr="00AD744A" w:rsidRDefault="00711398" w:rsidP="008A7D4E">
      <w:pPr>
        <w:rPr>
          <w:rFonts w:asciiTheme="minorHAnsi" w:hAnsiTheme="minorHAnsi"/>
        </w:rPr>
      </w:pPr>
    </w:p>
    <w:p w14:paraId="3772A959" w14:textId="0B74CD58" w:rsidR="00711398" w:rsidRPr="00AD744A" w:rsidRDefault="00711398" w:rsidP="008A7D4E">
      <w:pPr>
        <w:rPr>
          <w:rFonts w:asciiTheme="minorHAnsi" w:hAnsiTheme="minorHAnsi"/>
        </w:rPr>
      </w:pPr>
      <w:r w:rsidRPr="00AD744A">
        <w:rPr>
          <w:rFonts w:asciiTheme="minorHAnsi" w:hAnsiTheme="minorHAnsi"/>
        </w:rPr>
        <w:t>…………………………………………………………</w:t>
      </w:r>
    </w:p>
    <w:p w14:paraId="062D2877" w14:textId="77777777" w:rsidR="00711398" w:rsidRPr="00AD744A" w:rsidRDefault="00711398" w:rsidP="008A7D4E">
      <w:pPr>
        <w:rPr>
          <w:rFonts w:asciiTheme="minorHAnsi" w:hAnsiTheme="minorHAnsi"/>
        </w:rPr>
      </w:pPr>
    </w:p>
    <w:p w14:paraId="0AAE297D" w14:textId="77777777" w:rsidR="002332F6" w:rsidRPr="00AD744A" w:rsidRDefault="002332F6" w:rsidP="008A7D4E">
      <w:pPr>
        <w:rPr>
          <w:rFonts w:asciiTheme="minorHAnsi" w:hAnsiTheme="minorHAnsi"/>
        </w:rPr>
      </w:pPr>
      <w:r w:rsidRPr="00AD744A">
        <w:rPr>
          <w:rFonts w:asciiTheme="minorHAnsi" w:hAnsiTheme="minorHAnsi"/>
        </w:rPr>
        <w:lastRenderedPageBreak/>
        <w:t>en</w:t>
      </w:r>
    </w:p>
    <w:p w14:paraId="38A64185" w14:textId="77777777" w:rsidR="00C94C61" w:rsidRPr="00AD744A" w:rsidRDefault="00C94C61" w:rsidP="008A7D4E">
      <w:pPr>
        <w:tabs>
          <w:tab w:val="left" w:pos="6285"/>
        </w:tabs>
        <w:rPr>
          <w:rFonts w:asciiTheme="minorHAnsi" w:hAnsiTheme="minorHAnsi"/>
        </w:rPr>
      </w:pPr>
    </w:p>
    <w:p w14:paraId="5B8475D3" w14:textId="6A6C7EDF" w:rsidR="002332F6" w:rsidRPr="00AD744A" w:rsidRDefault="008A7D4E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M.A. Labij</w:t>
      </w:r>
      <w:r w:rsidR="008D32F8" w:rsidRPr="00AD744A">
        <w:rPr>
          <w:rFonts w:asciiTheme="minorHAnsi" w:hAnsiTheme="minorHAnsi"/>
        </w:rPr>
        <w:t xml:space="preserve"> </w:t>
      </w:r>
    </w:p>
    <w:p w14:paraId="03A91179" w14:textId="10E904A7" w:rsidR="004473DC" w:rsidRPr="00AD744A" w:rsidRDefault="008A7D4E" w:rsidP="008A7D4E">
      <w:pPr>
        <w:rPr>
          <w:rFonts w:asciiTheme="minorHAnsi" w:hAnsiTheme="minorHAnsi"/>
        </w:rPr>
      </w:pPr>
      <w:r>
        <w:rPr>
          <w:rFonts w:asciiTheme="minorHAnsi" w:hAnsiTheme="minorHAnsi"/>
        </w:rPr>
        <w:t>Lid College van Bestuur</w:t>
      </w:r>
      <w:r w:rsidR="004473DC" w:rsidRPr="00AD744A">
        <w:rPr>
          <w:rFonts w:asciiTheme="minorHAnsi" w:hAnsiTheme="minorHAnsi"/>
        </w:rPr>
        <w:t xml:space="preserve"> </w:t>
      </w:r>
    </w:p>
    <w:p w14:paraId="3F154FF7" w14:textId="77777777" w:rsidR="002E6BF6" w:rsidRPr="00AD744A" w:rsidRDefault="002E6BF6" w:rsidP="008A7D4E">
      <w:pPr>
        <w:rPr>
          <w:rFonts w:asciiTheme="minorHAnsi" w:hAnsiTheme="minorHAnsi"/>
        </w:rPr>
      </w:pPr>
    </w:p>
    <w:p w14:paraId="60D4A4BA" w14:textId="1F168C69" w:rsidR="00711398" w:rsidRPr="00AD744A" w:rsidRDefault="00711398" w:rsidP="008A7D4E">
      <w:pPr>
        <w:rPr>
          <w:rFonts w:asciiTheme="minorHAnsi" w:hAnsiTheme="minorHAnsi"/>
        </w:rPr>
      </w:pPr>
      <w:r w:rsidRPr="00AD744A">
        <w:rPr>
          <w:rFonts w:asciiTheme="minorHAnsi" w:hAnsiTheme="minorHAnsi"/>
        </w:rPr>
        <w:t>……………………………………………………………</w:t>
      </w:r>
    </w:p>
    <w:p w14:paraId="3389F66B" w14:textId="30025BDF" w:rsidR="00711398" w:rsidRPr="003B13F5" w:rsidRDefault="00711398" w:rsidP="008A7D4E">
      <w:pPr>
        <w:rPr>
          <w:rFonts w:asciiTheme="minorHAnsi" w:hAnsiTheme="minorHAnsi"/>
          <w:color w:val="FF0000"/>
        </w:rPr>
      </w:pPr>
    </w:p>
    <w:sectPr w:rsidR="00711398" w:rsidRPr="003B13F5" w:rsidSect="007F088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4BA2" w14:textId="77777777" w:rsidR="00F0524B" w:rsidRDefault="00F0524B">
      <w:pPr>
        <w:spacing w:line="240" w:lineRule="auto"/>
      </w:pPr>
      <w:r>
        <w:separator/>
      </w:r>
    </w:p>
  </w:endnote>
  <w:endnote w:type="continuationSeparator" w:id="0">
    <w:p w14:paraId="5DD78E2F" w14:textId="77777777" w:rsidR="00F0524B" w:rsidRDefault="00F0524B">
      <w:pPr>
        <w:spacing w:line="240" w:lineRule="auto"/>
      </w:pPr>
      <w:r>
        <w:continuationSeparator/>
      </w:r>
    </w:p>
  </w:endnote>
  <w:endnote w:type="continuationNotice" w:id="1">
    <w:p w14:paraId="2C5E68C4" w14:textId="77777777" w:rsidR="00F0524B" w:rsidRDefault="00F052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907385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52296036"/>
          <w:docPartObj>
            <w:docPartGallery w:val="Page Numbers (Top of Page)"/>
            <w:docPartUnique/>
          </w:docPartObj>
        </w:sdtPr>
        <w:sdtContent>
          <w:p w14:paraId="116E153B" w14:textId="78E5212B" w:rsidR="007338CA" w:rsidRPr="00D234B2" w:rsidRDefault="007A2252" w:rsidP="00D234B2">
            <w:pPr>
              <w:pStyle w:val="Voet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FILENAME 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Annex 1 - (concept) overeenkomst</w:t>
            </w:r>
            <w:r>
              <w:rPr>
                <w:sz w:val="18"/>
                <w:szCs w:val="18"/>
              </w:rPr>
              <w:fldChar w:fldCharType="end"/>
            </w:r>
            <w:r w:rsidR="00D234B2">
              <w:rPr>
                <w:sz w:val="18"/>
                <w:szCs w:val="18"/>
              </w:rPr>
              <w:tab/>
            </w:r>
            <w:r w:rsidR="007338CA" w:rsidRPr="00D234B2">
              <w:rPr>
                <w:sz w:val="18"/>
                <w:szCs w:val="18"/>
              </w:rPr>
              <w:t xml:space="preserve">                            </w:t>
            </w:r>
            <w:r w:rsidR="008A7D4E">
              <w:rPr>
                <w:sz w:val="18"/>
                <w:szCs w:val="18"/>
              </w:rPr>
              <w:tab/>
            </w:r>
            <w:r w:rsidR="007338CA" w:rsidRPr="00D234B2">
              <w:rPr>
                <w:sz w:val="18"/>
                <w:szCs w:val="18"/>
              </w:rPr>
              <w:t xml:space="preserve">  Pagina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PAGE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3B13F5">
              <w:rPr>
                <w:b/>
                <w:bCs/>
                <w:noProof/>
                <w:sz w:val="18"/>
                <w:szCs w:val="18"/>
              </w:rPr>
              <w:t>4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  <w:r w:rsidR="007338CA" w:rsidRPr="00D234B2">
              <w:rPr>
                <w:sz w:val="18"/>
                <w:szCs w:val="18"/>
              </w:rPr>
              <w:t xml:space="preserve"> van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NUMPAGES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3B13F5">
              <w:rPr>
                <w:b/>
                <w:bCs/>
                <w:noProof/>
                <w:sz w:val="18"/>
                <w:szCs w:val="18"/>
              </w:rPr>
              <w:t>4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3131AE" w14:textId="77777777" w:rsidR="007338CA" w:rsidRDefault="007338CA" w:rsidP="00845142">
    <w:pPr>
      <w:pStyle w:val="Voettekst"/>
      <w:tabs>
        <w:tab w:val="clear" w:pos="9072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9BE3" w14:textId="77777777" w:rsidR="00F0524B" w:rsidRDefault="00F0524B">
      <w:pPr>
        <w:spacing w:line="240" w:lineRule="auto"/>
      </w:pPr>
      <w:r>
        <w:separator/>
      </w:r>
    </w:p>
  </w:footnote>
  <w:footnote w:type="continuationSeparator" w:id="0">
    <w:p w14:paraId="42012AC9" w14:textId="77777777" w:rsidR="00F0524B" w:rsidRDefault="00F0524B">
      <w:pPr>
        <w:spacing w:line="240" w:lineRule="auto"/>
      </w:pPr>
      <w:r>
        <w:continuationSeparator/>
      </w:r>
    </w:p>
  </w:footnote>
  <w:footnote w:type="continuationNotice" w:id="1">
    <w:p w14:paraId="600FD562" w14:textId="77777777" w:rsidR="00F0524B" w:rsidRDefault="00F052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0697" w14:textId="2F3FEC14" w:rsidR="002E6BF6" w:rsidRDefault="00000000">
    <w:pPr>
      <w:pStyle w:val="Koptekst"/>
    </w:pPr>
    <w:r>
      <w:rPr>
        <w:noProof/>
      </w:rPr>
      <w:pict w14:anchorId="65FCD3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1297" o:spid="_x0000_s1028" type="#_x0000_t136" style="position:absolute;margin-left:0;margin-top:0;width:447.55pt;height:191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2C0A" w14:textId="1FE5DEA1" w:rsidR="002E6BF6" w:rsidRDefault="00000000">
    <w:pPr>
      <w:pStyle w:val="Koptekst"/>
    </w:pPr>
    <w:r>
      <w:rPr>
        <w:noProof/>
      </w:rPr>
      <w:pict w14:anchorId="7852E9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1298" o:spid="_x0000_s1029" type="#_x0000_t136" style="position:absolute;margin-left:0;margin-top:0;width:447.55pt;height:191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E601" w14:textId="7B214D02" w:rsidR="002E6BF6" w:rsidRDefault="00000000">
    <w:pPr>
      <w:pStyle w:val="Koptekst"/>
    </w:pPr>
    <w:r>
      <w:rPr>
        <w:noProof/>
      </w:rPr>
      <w:pict w14:anchorId="48AB9F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31296" o:spid="_x0000_s1027" type="#_x0000_t136" style="position:absolute;margin-left:0;margin-top:0;width:447.55pt;height:19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856"/>
    <w:multiLevelType w:val="multilevel"/>
    <w:tmpl w:val="BA889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pStyle w:val="Kop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4159A0"/>
    <w:multiLevelType w:val="hybridMultilevel"/>
    <w:tmpl w:val="312244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3A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207EA"/>
    <w:multiLevelType w:val="hybridMultilevel"/>
    <w:tmpl w:val="7B9EE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0ABD"/>
    <w:multiLevelType w:val="hybridMultilevel"/>
    <w:tmpl w:val="60F8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35A7F"/>
    <w:multiLevelType w:val="multilevel"/>
    <w:tmpl w:val="E9C6019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0895FDD"/>
    <w:multiLevelType w:val="multilevel"/>
    <w:tmpl w:val="C9B005B0"/>
    <w:lvl w:ilvl="0">
      <w:numFmt w:val="bullet"/>
      <w:lvlText w:val=""/>
      <w:lvlJc w:val="left"/>
      <w:pPr>
        <w:ind w:left="71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6" w15:restartNumberingAfterBreak="0">
    <w:nsid w:val="21FB4E3C"/>
    <w:multiLevelType w:val="multilevel"/>
    <w:tmpl w:val="F5A66232"/>
    <w:styleLink w:val="Stij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E63933"/>
    <w:multiLevelType w:val="multilevel"/>
    <w:tmpl w:val="3B021A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601112"/>
    <w:multiLevelType w:val="multilevel"/>
    <w:tmpl w:val="23548F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AF1CD6"/>
    <w:multiLevelType w:val="multilevel"/>
    <w:tmpl w:val="0B146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451F91"/>
    <w:multiLevelType w:val="multilevel"/>
    <w:tmpl w:val="434655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B9BD5" w:themeColor="accent1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5B9BD5" w:themeColor="accent1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5B9BD5" w:themeColor="accent1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5B9BD5" w:themeColor="accent1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5B9BD5" w:themeColor="accent1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5B9BD5" w:themeColor="accent1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5B9BD5" w:themeColor="accent1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5B9BD5" w:themeColor="accent1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5B9BD5" w:themeColor="accent1"/>
      </w:rPr>
    </w:lvl>
  </w:abstractNum>
  <w:abstractNum w:abstractNumId="11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FA5E5B"/>
    <w:multiLevelType w:val="hybridMultilevel"/>
    <w:tmpl w:val="26C01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A0D8D"/>
    <w:multiLevelType w:val="multilevel"/>
    <w:tmpl w:val="3A7E532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3BD77042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C06EA"/>
    <w:multiLevelType w:val="multilevel"/>
    <w:tmpl w:val="F5A66232"/>
    <w:numStyleLink w:val="Stijl1"/>
  </w:abstractNum>
  <w:abstractNum w:abstractNumId="16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55585"/>
    <w:multiLevelType w:val="hybridMultilevel"/>
    <w:tmpl w:val="B860C922"/>
    <w:lvl w:ilvl="0" w:tplc="5A861C3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C0E00"/>
    <w:multiLevelType w:val="multilevel"/>
    <w:tmpl w:val="7B3A05F6"/>
    <w:lvl w:ilvl="0">
      <w:numFmt w:val="bullet"/>
      <w:lvlText w:val=""/>
      <w:lvlJc w:val="left"/>
      <w:pPr>
        <w:ind w:left="12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72" w:hanging="360"/>
      </w:pPr>
      <w:rPr>
        <w:rFonts w:ascii="Wingdings" w:hAnsi="Wingdings"/>
      </w:rPr>
    </w:lvl>
  </w:abstractNum>
  <w:abstractNum w:abstractNumId="19" w15:restartNumberingAfterBreak="0">
    <w:nsid w:val="4AAD00E8"/>
    <w:multiLevelType w:val="multilevel"/>
    <w:tmpl w:val="F8347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5D4EBA"/>
    <w:multiLevelType w:val="multilevel"/>
    <w:tmpl w:val="F5A66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462BF3"/>
    <w:multiLevelType w:val="hybridMultilevel"/>
    <w:tmpl w:val="EBDA8AE8"/>
    <w:lvl w:ilvl="0" w:tplc="2B6AF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751B1"/>
    <w:multiLevelType w:val="hybridMultilevel"/>
    <w:tmpl w:val="F7E4B1F0"/>
    <w:lvl w:ilvl="0" w:tplc="CE52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92B0B"/>
    <w:multiLevelType w:val="multilevel"/>
    <w:tmpl w:val="265C10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4B45B5"/>
    <w:multiLevelType w:val="multilevel"/>
    <w:tmpl w:val="E056FC74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bCs/>
        <w:i w:val="0"/>
        <w:sz w:val="22"/>
        <w:szCs w:val="14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25" w15:restartNumberingAfterBreak="0">
    <w:nsid w:val="6143214F"/>
    <w:multiLevelType w:val="multilevel"/>
    <w:tmpl w:val="0AA23B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43682"/>
    <w:multiLevelType w:val="hybridMultilevel"/>
    <w:tmpl w:val="AE4E8E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956398"/>
    <w:multiLevelType w:val="multilevel"/>
    <w:tmpl w:val="23586A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FF23A11"/>
    <w:multiLevelType w:val="hybridMultilevel"/>
    <w:tmpl w:val="920688EE"/>
    <w:lvl w:ilvl="0" w:tplc="BC92E19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CG Times" w:hAnsi="CG Times" w:hint="default"/>
        <w:b w:val="0"/>
        <w:i w:val="0"/>
        <w:sz w:val="22"/>
      </w:rPr>
    </w:lvl>
    <w:lvl w:ilvl="1" w:tplc="9F6C631A">
      <w:start w:val="1"/>
      <w:numFmt w:val="decimal"/>
      <w:lvlText w:val="%2. "/>
      <w:lvlJc w:val="left"/>
      <w:pPr>
        <w:tabs>
          <w:tab w:val="num" w:pos="1647"/>
        </w:tabs>
        <w:ind w:left="1647" w:hanging="567"/>
      </w:pPr>
      <w:rPr>
        <w:rFonts w:ascii="Myriad Pro" w:hAnsi="Myriad Pro" w:hint="default"/>
        <w:b w:val="0"/>
        <w:i w:val="0"/>
        <w:color w:val="000000"/>
        <w:sz w:val="20"/>
        <w:szCs w:val="20"/>
        <w:u w:val="none"/>
      </w:rPr>
    </w:lvl>
    <w:lvl w:ilvl="2" w:tplc="0D26EEF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004024">
    <w:abstractNumId w:val="11"/>
  </w:num>
  <w:num w:numId="2" w16cid:durableId="1248729725">
    <w:abstractNumId w:val="3"/>
  </w:num>
  <w:num w:numId="3" w16cid:durableId="904490531">
    <w:abstractNumId w:val="26"/>
  </w:num>
  <w:num w:numId="4" w16cid:durableId="460854225">
    <w:abstractNumId w:val="22"/>
  </w:num>
  <w:num w:numId="5" w16cid:durableId="569970793">
    <w:abstractNumId w:val="1"/>
  </w:num>
  <w:num w:numId="6" w16cid:durableId="86855577">
    <w:abstractNumId w:val="12"/>
  </w:num>
  <w:num w:numId="7" w16cid:durableId="908345062">
    <w:abstractNumId w:val="16"/>
  </w:num>
  <w:num w:numId="8" w16cid:durableId="56977333">
    <w:abstractNumId w:val="29"/>
  </w:num>
  <w:num w:numId="9" w16cid:durableId="854535012">
    <w:abstractNumId w:val="8"/>
  </w:num>
  <w:num w:numId="10" w16cid:durableId="763958673">
    <w:abstractNumId w:val="14"/>
  </w:num>
  <w:num w:numId="11" w16cid:durableId="489715445">
    <w:abstractNumId w:val="24"/>
  </w:num>
  <w:num w:numId="12" w16cid:durableId="597909659">
    <w:abstractNumId w:val="13"/>
  </w:num>
  <w:num w:numId="13" w16cid:durableId="1256327742">
    <w:abstractNumId w:val="2"/>
  </w:num>
  <w:num w:numId="14" w16cid:durableId="1755391523">
    <w:abstractNumId w:val="5"/>
  </w:num>
  <w:num w:numId="15" w16cid:durableId="528375594">
    <w:abstractNumId w:val="23"/>
  </w:num>
  <w:num w:numId="16" w16cid:durableId="559751849">
    <w:abstractNumId w:val="25"/>
  </w:num>
  <w:num w:numId="17" w16cid:durableId="809054591">
    <w:abstractNumId w:val="28"/>
  </w:num>
  <w:num w:numId="18" w16cid:durableId="1312637483">
    <w:abstractNumId w:val="4"/>
  </w:num>
  <w:num w:numId="19" w16cid:durableId="1627153658">
    <w:abstractNumId w:val="19"/>
  </w:num>
  <w:num w:numId="20" w16cid:durableId="2125466113">
    <w:abstractNumId w:val="18"/>
  </w:num>
  <w:num w:numId="21" w16cid:durableId="1710915451">
    <w:abstractNumId w:val="0"/>
  </w:num>
  <w:num w:numId="22" w16cid:durableId="1293515063">
    <w:abstractNumId w:val="9"/>
  </w:num>
  <w:num w:numId="23" w16cid:durableId="547109054">
    <w:abstractNumId w:val="7"/>
  </w:num>
  <w:num w:numId="24" w16cid:durableId="995719260">
    <w:abstractNumId w:val="20"/>
  </w:num>
  <w:num w:numId="25" w16cid:durableId="1464233075">
    <w:abstractNumId w:val="10"/>
  </w:num>
  <w:num w:numId="26" w16cid:durableId="1738429206">
    <w:abstractNumId w:val="15"/>
  </w:num>
  <w:num w:numId="27" w16cid:durableId="268394882">
    <w:abstractNumId w:val="6"/>
  </w:num>
  <w:num w:numId="28" w16cid:durableId="2125810695">
    <w:abstractNumId w:val="27"/>
  </w:num>
  <w:num w:numId="29" w16cid:durableId="540558554">
    <w:abstractNumId w:val="21"/>
  </w:num>
  <w:num w:numId="30" w16cid:durableId="1574505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C"/>
    <w:rsid w:val="00002819"/>
    <w:rsid w:val="00002B79"/>
    <w:rsid w:val="00013A25"/>
    <w:rsid w:val="00045706"/>
    <w:rsid w:val="00063204"/>
    <w:rsid w:val="00064CD0"/>
    <w:rsid w:val="00074B7F"/>
    <w:rsid w:val="00076072"/>
    <w:rsid w:val="00092630"/>
    <w:rsid w:val="000A2F7A"/>
    <w:rsid w:val="000B5A16"/>
    <w:rsid w:val="000B62EE"/>
    <w:rsid w:val="000C37E5"/>
    <w:rsid w:val="000E4EFA"/>
    <w:rsid w:val="000E6F54"/>
    <w:rsid w:val="000E7920"/>
    <w:rsid w:val="001044ED"/>
    <w:rsid w:val="00121266"/>
    <w:rsid w:val="00133E0F"/>
    <w:rsid w:val="00141474"/>
    <w:rsid w:val="00165211"/>
    <w:rsid w:val="00181398"/>
    <w:rsid w:val="00183AA8"/>
    <w:rsid w:val="00185DA1"/>
    <w:rsid w:val="0019422E"/>
    <w:rsid w:val="001B5F54"/>
    <w:rsid w:val="001D0D77"/>
    <w:rsid w:val="001F721A"/>
    <w:rsid w:val="00203E65"/>
    <w:rsid w:val="0020761A"/>
    <w:rsid w:val="00207BD0"/>
    <w:rsid w:val="00215772"/>
    <w:rsid w:val="00220E56"/>
    <w:rsid w:val="00222E0E"/>
    <w:rsid w:val="00227897"/>
    <w:rsid w:val="002332F6"/>
    <w:rsid w:val="00246772"/>
    <w:rsid w:val="00271AC3"/>
    <w:rsid w:val="002734F3"/>
    <w:rsid w:val="0027476A"/>
    <w:rsid w:val="002772B0"/>
    <w:rsid w:val="00292C5D"/>
    <w:rsid w:val="00294518"/>
    <w:rsid w:val="002A7A0F"/>
    <w:rsid w:val="002D5A20"/>
    <w:rsid w:val="002E6500"/>
    <w:rsid w:val="002E6BF6"/>
    <w:rsid w:val="002F2145"/>
    <w:rsid w:val="002F3C76"/>
    <w:rsid w:val="0030353B"/>
    <w:rsid w:val="00305075"/>
    <w:rsid w:val="00306734"/>
    <w:rsid w:val="00313C8E"/>
    <w:rsid w:val="00317E88"/>
    <w:rsid w:val="00335549"/>
    <w:rsid w:val="00355C99"/>
    <w:rsid w:val="00392864"/>
    <w:rsid w:val="003932F1"/>
    <w:rsid w:val="00396181"/>
    <w:rsid w:val="003B13F5"/>
    <w:rsid w:val="003C0749"/>
    <w:rsid w:val="004141CA"/>
    <w:rsid w:val="0041453D"/>
    <w:rsid w:val="00436AAB"/>
    <w:rsid w:val="00445151"/>
    <w:rsid w:val="004473DC"/>
    <w:rsid w:val="0046708C"/>
    <w:rsid w:val="0047492D"/>
    <w:rsid w:val="00491C0A"/>
    <w:rsid w:val="004B1E0B"/>
    <w:rsid w:val="004B548B"/>
    <w:rsid w:val="004C1C88"/>
    <w:rsid w:val="004D57F5"/>
    <w:rsid w:val="004E086E"/>
    <w:rsid w:val="004E763A"/>
    <w:rsid w:val="0050651D"/>
    <w:rsid w:val="00506C3F"/>
    <w:rsid w:val="005071FE"/>
    <w:rsid w:val="00520A42"/>
    <w:rsid w:val="005302C5"/>
    <w:rsid w:val="00530A27"/>
    <w:rsid w:val="00531AAE"/>
    <w:rsid w:val="00532096"/>
    <w:rsid w:val="00556078"/>
    <w:rsid w:val="00561164"/>
    <w:rsid w:val="00573A03"/>
    <w:rsid w:val="005764FB"/>
    <w:rsid w:val="00583C96"/>
    <w:rsid w:val="005872BD"/>
    <w:rsid w:val="00594075"/>
    <w:rsid w:val="005A43BA"/>
    <w:rsid w:val="005A695B"/>
    <w:rsid w:val="005B1F04"/>
    <w:rsid w:val="005C771F"/>
    <w:rsid w:val="005D5A00"/>
    <w:rsid w:val="0060548A"/>
    <w:rsid w:val="00660ECC"/>
    <w:rsid w:val="0066601B"/>
    <w:rsid w:val="00673990"/>
    <w:rsid w:val="006933D8"/>
    <w:rsid w:val="006B041E"/>
    <w:rsid w:val="006D544E"/>
    <w:rsid w:val="006D56C1"/>
    <w:rsid w:val="006D7D35"/>
    <w:rsid w:val="006E462D"/>
    <w:rsid w:val="006F5970"/>
    <w:rsid w:val="00700880"/>
    <w:rsid w:val="00704234"/>
    <w:rsid w:val="00711398"/>
    <w:rsid w:val="00726E7D"/>
    <w:rsid w:val="00731797"/>
    <w:rsid w:val="007338CA"/>
    <w:rsid w:val="00735B0B"/>
    <w:rsid w:val="00747FC6"/>
    <w:rsid w:val="00757C30"/>
    <w:rsid w:val="00790355"/>
    <w:rsid w:val="007915BD"/>
    <w:rsid w:val="007A2252"/>
    <w:rsid w:val="007C4AB3"/>
    <w:rsid w:val="007D19C8"/>
    <w:rsid w:val="007D5869"/>
    <w:rsid w:val="007E0F2B"/>
    <w:rsid w:val="007E1634"/>
    <w:rsid w:val="007F0889"/>
    <w:rsid w:val="007F25E8"/>
    <w:rsid w:val="007F3DEF"/>
    <w:rsid w:val="008004F3"/>
    <w:rsid w:val="00802FF8"/>
    <w:rsid w:val="00813EED"/>
    <w:rsid w:val="00822052"/>
    <w:rsid w:val="00831A2C"/>
    <w:rsid w:val="00845142"/>
    <w:rsid w:val="0084525D"/>
    <w:rsid w:val="008657F7"/>
    <w:rsid w:val="00895318"/>
    <w:rsid w:val="008971AD"/>
    <w:rsid w:val="008A7D4E"/>
    <w:rsid w:val="008B4D05"/>
    <w:rsid w:val="008B7975"/>
    <w:rsid w:val="008B7DC7"/>
    <w:rsid w:val="008D1302"/>
    <w:rsid w:val="008D32F8"/>
    <w:rsid w:val="008E1DCE"/>
    <w:rsid w:val="008E3990"/>
    <w:rsid w:val="00901ECD"/>
    <w:rsid w:val="00902C8C"/>
    <w:rsid w:val="00903640"/>
    <w:rsid w:val="00904F4E"/>
    <w:rsid w:val="009112E5"/>
    <w:rsid w:val="009213A4"/>
    <w:rsid w:val="00923BD8"/>
    <w:rsid w:val="00933C84"/>
    <w:rsid w:val="009377E0"/>
    <w:rsid w:val="00937E56"/>
    <w:rsid w:val="00952F2B"/>
    <w:rsid w:val="009574CD"/>
    <w:rsid w:val="009702FA"/>
    <w:rsid w:val="00974726"/>
    <w:rsid w:val="00977B3F"/>
    <w:rsid w:val="00982A06"/>
    <w:rsid w:val="009852F9"/>
    <w:rsid w:val="0098637E"/>
    <w:rsid w:val="009911F4"/>
    <w:rsid w:val="009A3737"/>
    <w:rsid w:val="009A6DBD"/>
    <w:rsid w:val="009E0774"/>
    <w:rsid w:val="009F4ACC"/>
    <w:rsid w:val="00A11096"/>
    <w:rsid w:val="00A127BE"/>
    <w:rsid w:val="00A13D7E"/>
    <w:rsid w:val="00A445B6"/>
    <w:rsid w:val="00A7075B"/>
    <w:rsid w:val="00A75211"/>
    <w:rsid w:val="00A76C03"/>
    <w:rsid w:val="00A776D7"/>
    <w:rsid w:val="00A95660"/>
    <w:rsid w:val="00A97261"/>
    <w:rsid w:val="00AB2B99"/>
    <w:rsid w:val="00AC2FB8"/>
    <w:rsid w:val="00AD744A"/>
    <w:rsid w:val="00AF21DD"/>
    <w:rsid w:val="00AF4151"/>
    <w:rsid w:val="00AF541C"/>
    <w:rsid w:val="00B01F12"/>
    <w:rsid w:val="00B06D8A"/>
    <w:rsid w:val="00B106FC"/>
    <w:rsid w:val="00B32CDD"/>
    <w:rsid w:val="00B33797"/>
    <w:rsid w:val="00B42D35"/>
    <w:rsid w:val="00B4503E"/>
    <w:rsid w:val="00B5504B"/>
    <w:rsid w:val="00B560D6"/>
    <w:rsid w:val="00B60EDF"/>
    <w:rsid w:val="00B64653"/>
    <w:rsid w:val="00B9071A"/>
    <w:rsid w:val="00BA0323"/>
    <w:rsid w:val="00BB0550"/>
    <w:rsid w:val="00BB2D01"/>
    <w:rsid w:val="00BC4A5A"/>
    <w:rsid w:val="00BF22ED"/>
    <w:rsid w:val="00C3528C"/>
    <w:rsid w:val="00C52489"/>
    <w:rsid w:val="00C630CA"/>
    <w:rsid w:val="00C678A9"/>
    <w:rsid w:val="00C80CFD"/>
    <w:rsid w:val="00C85F7C"/>
    <w:rsid w:val="00C94C61"/>
    <w:rsid w:val="00CA6203"/>
    <w:rsid w:val="00CA7377"/>
    <w:rsid w:val="00CB0B69"/>
    <w:rsid w:val="00CB46B0"/>
    <w:rsid w:val="00CB50BE"/>
    <w:rsid w:val="00CE4458"/>
    <w:rsid w:val="00CF0618"/>
    <w:rsid w:val="00CF41E6"/>
    <w:rsid w:val="00D01633"/>
    <w:rsid w:val="00D01804"/>
    <w:rsid w:val="00D019AE"/>
    <w:rsid w:val="00D234B2"/>
    <w:rsid w:val="00D33E6F"/>
    <w:rsid w:val="00D40F7A"/>
    <w:rsid w:val="00D433DD"/>
    <w:rsid w:val="00D44432"/>
    <w:rsid w:val="00D7659A"/>
    <w:rsid w:val="00D91B0F"/>
    <w:rsid w:val="00DA281D"/>
    <w:rsid w:val="00DB0971"/>
    <w:rsid w:val="00DC5A6E"/>
    <w:rsid w:val="00DC75BA"/>
    <w:rsid w:val="00DF0BA9"/>
    <w:rsid w:val="00DF4749"/>
    <w:rsid w:val="00DF61E8"/>
    <w:rsid w:val="00E03EAB"/>
    <w:rsid w:val="00E04E94"/>
    <w:rsid w:val="00E1433D"/>
    <w:rsid w:val="00E264BF"/>
    <w:rsid w:val="00E34586"/>
    <w:rsid w:val="00E37D17"/>
    <w:rsid w:val="00E42B14"/>
    <w:rsid w:val="00E45AC7"/>
    <w:rsid w:val="00E50873"/>
    <w:rsid w:val="00E51971"/>
    <w:rsid w:val="00E5765C"/>
    <w:rsid w:val="00E704BD"/>
    <w:rsid w:val="00E77183"/>
    <w:rsid w:val="00E80D3A"/>
    <w:rsid w:val="00E838C2"/>
    <w:rsid w:val="00E91633"/>
    <w:rsid w:val="00E9789C"/>
    <w:rsid w:val="00EA5234"/>
    <w:rsid w:val="00ED0AFE"/>
    <w:rsid w:val="00ED774E"/>
    <w:rsid w:val="00EF303D"/>
    <w:rsid w:val="00EF4C2B"/>
    <w:rsid w:val="00F0524B"/>
    <w:rsid w:val="00F247B5"/>
    <w:rsid w:val="00F27C7A"/>
    <w:rsid w:val="00F31839"/>
    <w:rsid w:val="00F54F94"/>
    <w:rsid w:val="00F77C06"/>
    <w:rsid w:val="00F9000D"/>
    <w:rsid w:val="00FB4F78"/>
    <w:rsid w:val="00FB63BB"/>
    <w:rsid w:val="00FC1095"/>
    <w:rsid w:val="00FC4B29"/>
    <w:rsid w:val="00FC634F"/>
    <w:rsid w:val="00FC73D4"/>
    <w:rsid w:val="00FD1C69"/>
    <w:rsid w:val="00FD2522"/>
    <w:rsid w:val="00FE095B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FF4C0"/>
  <w15:chartTrackingRefBased/>
  <w15:docId w15:val="{1508FF58-BA8E-4A5F-B4B7-B40D831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54"/>
    <w:pPr>
      <w:spacing w:line="276" w:lineRule="auto"/>
    </w:pPr>
    <w:rPr>
      <w:sz w:val="22"/>
      <w:szCs w:val="22"/>
      <w:lang w:eastAsia="en-US"/>
    </w:rPr>
  </w:style>
  <w:style w:type="paragraph" w:styleId="Kop2">
    <w:name w:val="heading 2"/>
    <w:aliases w:val="Subhead A,H2,2scr,h2"/>
    <w:basedOn w:val="Geenafstand"/>
    <w:next w:val="Standaard"/>
    <w:link w:val="Kop2Char"/>
    <w:autoRedefine/>
    <w:uiPriority w:val="9"/>
    <w:qFormat/>
    <w:rsid w:val="00246772"/>
    <w:pPr>
      <w:numPr>
        <w:ilvl w:val="1"/>
        <w:numId w:val="21"/>
      </w:numPr>
      <w:outlineLvl w:val="1"/>
    </w:pPr>
    <w:rPr>
      <w:rFonts w:asciiTheme="minorHAnsi" w:eastAsiaTheme="minorHAnsi" w:hAnsiTheme="minorHAnsi" w:cs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st Paragraph1,lp1,Paragraph Title,Opsomblokjes en substreepjes,Hoofdstuk 1"/>
    <w:basedOn w:val="Standaard"/>
    <w:link w:val="LijstalineaChar"/>
    <w:uiPriority w:val="34"/>
    <w:qFormat/>
    <w:rsid w:val="00933C84"/>
    <w:pPr>
      <w:ind w:left="708"/>
    </w:pPr>
  </w:style>
  <w:style w:type="character" w:styleId="Verwijzingopmerking">
    <w:name w:val="annotation reference"/>
    <w:semiHidden/>
    <w:rsid w:val="002F3C76"/>
    <w:rPr>
      <w:sz w:val="16"/>
      <w:szCs w:val="16"/>
    </w:rPr>
  </w:style>
  <w:style w:type="paragraph" w:styleId="Tekstopmerking">
    <w:name w:val="annotation text"/>
    <w:basedOn w:val="Standaard"/>
    <w:semiHidden/>
    <w:rsid w:val="002F3C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F3C76"/>
    <w:rPr>
      <w:b/>
      <w:bCs/>
    </w:rPr>
  </w:style>
  <w:style w:type="paragraph" w:styleId="Ballontekst">
    <w:name w:val="Balloon Text"/>
    <w:basedOn w:val="Standaard"/>
    <w:semiHidden/>
    <w:rsid w:val="002F3C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903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03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0355"/>
  </w:style>
  <w:style w:type="table" w:styleId="Tabelraster">
    <w:name w:val="Table Grid"/>
    <w:basedOn w:val="Standaardtabel"/>
    <w:uiPriority w:val="59"/>
    <w:rsid w:val="00A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BF22E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rsid w:val="004D57F5"/>
    <w:pPr>
      <w:tabs>
        <w:tab w:val="left" w:pos="1309"/>
      </w:tabs>
      <w:spacing w:line="240" w:lineRule="auto"/>
      <w:jc w:val="both"/>
    </w:pPr>
    <w:rPr>
      <w:rFonts w:ascii="Arial" w:hAnsi="Arial" w:cs="Arial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4D57F5"/>
    <w:rPr>
      <w:rFonts w:ascii="Arial" w:hAnsi="Arial" w:cs="Arial"/>
      <w:sz w:val="22"/>
      <w:szCs w:val="24"/>
    </w:rPr>
  </w:style>
  <w:style w:type="character" w:styleId="Hyperlink">
    <w:name w:val="Hyperlink"/>
    <w:basedOn w:val="Standaardalinea-lettertype"/>
    <w:uiPriority w:val="99"/>
    <w:rsid w:val="008971AD"/>
    <w:rPr>
      <w:rFonts w:cs="Times New Roman"/>
      <w:color w:val="0000FF"/>
      <w:u w:val="single"/>
    </w:rPr>
  </w:style>
  <w:style w:type="paragraph" w:styleId="Geenafstand">
    <w:name w:val="No Spacing"/>
    <w:uiPriority w:val="1"/>
    <w:qFormat/>
    <w:rsid w:val="007D19C8"/>
    <w:rPr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1ECD"/>
    <w:rPr>
      <w:sz w:val="22"/>
      <w:szCs w:val="22"/>
      <w:lang w:eastAsia="en-US"/>
    </w:rPr>
  </w:style>
  <w:style w:type="paragraph" w:customStyle="1" w:styleId="paragraph">
    <w:name w:val="paragraph"/>
    <w:basedOn w:val="Standaard"/>
    <w:rsid w:val="00CB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B50BE"/>
  </w:style>
  <w:style w:type="character" w:customStyle="1" w:styleId="eop">
    <w:name w:val="eop"/>
    <w:basedOn w:val="Standaardalinea-lettertype"/>
    <w:rsid w:val="00CB50BE"/>
  </w:style>
  <w:style w:type="character" w:customStyle="1" w:styleId="LijstalineaChar">
    <w:name w:val="Lijstalinea Char"/>
    <w:aliases w:val="List Paragraph1 Char,lp1 Char,Paragraph Title Char,Opsomblokjes en substreepjes Char,Hoofdstuk 1 Char"/>
    <w:link w:val="Lijstalinea"/>
    <w:uiPriority w:val="34"/>
    <w:rsid w:val="002E6BF6"/>
    <w:rPr>
      <w:sz w:val="22"/>
      <w:szCs w:val="22"/>
      <w:lang w:eastAsia="en-US"/>
    </w:rPr>
  </w:style>
  <w:style w:type="character" w:customStyle="1" w:styleId="Kop2Char">
    <w:name w:val="Kop 2 Char"/>
    <w:aliases w:val="Subhead A Char,H2 Char,2scr Char,h2 Char"/>
    <w:basedOn w:val="Standaardalinea-lettertype"/>
    <w:link w:val="Kop2"/>
    <w:uiPriority w:val="9"/>
    <w:rsid w:val="00246772"/>
    <w:rPr>
      <w:rFonts w:asciiTheme="minorHAnsi" w:eastAsiaTheme="minorHAnsi" w:hAnsiTheme="minorHAnsi" w:cstheme="minorHAnsi"/>
      <w:bCs/>
      <w:sz w:val="22"/>
      <w:szCs w:val="22"/>
      <w:lang w:eastAsia="en-US"/>
    </w:rPr>
  </w:style>
  <w:style w:type="numbering" w:customStyle="1" w:styleId="Stijl1">
    <w:name w:val="Stijl1"/>
    <w:uiPriority w:val="99"/>
    <w:rsid w:val="0030353B"/>
    <w:pPr>
      <w:numPr>
        <w:numId w:val="27"/>
      </w:numPr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506C3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06C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turen@rocmn.n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b34d8-2607-4d10-b9ae-98f2622ece90" xsi:nil="true"/>
    <lcf76f155ced4ddcb4097134ff3c332f xmlns="8a00563d-3b28-4978-ace9-9e624d3bc8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7163381D5E4BA8096EF14CCF730C" ma:contentTypeVersion="11" ma:contentTypeDescription="Een nieuw document maken." ma:contentTypeScope="" ma:versionID="5e6c777d1a0687e5eec70de9b11d644d">
  <xsd:schema xmlns:xsd="http://www.w3.org/2001/XMLSchema" xmlns:xs="http://www.w3.org/2001/XMLSchema" xmlns:p="http://schemas.microsoft.com/office/2006/metadata/properties" xmlns:ns2="8a00563d-3b28-4978-ace9-9e624d3bc865" xmlns:ns3="f4db34d8-2607-4d10-b9ae-98f2622ece90" targetNamespace="http://schemas.microsoft.com/office/2006/metadata/properties" ma:root="true" ma:fieldsID="34275b2baf10fd1b43fa6052317deae1" ns2:_="" ns3:_="">
    <xsd:import namespace="8a00563d-3b28-4978-ace9-9e624d3bc865"/>
    <xsd:import namespace="f4db34d8-2607-4d10-b9ae-98f2622e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0563d-3b28-4978-ace9-9e624d3b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34d8-2607-4d10-b9ae-98f2622ece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353bac-317a-43e2-b2c0-5a66f303eea2}" ma:internalName="TaxCatchAll" ma:showField="CatchAllData" ma:web="f4db34d8-2607-4d10-b9ae-98f2622e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40294-D86C-4B5C-9C9F-679725C3A8B1}">
  <ds:schemaRefs>
    <ds:schemaRef ds:uri="http://schemas.microsoft.com/office/2006/metadata/properties"/>
    <ds:schemaRef ds:uri="http://schemas.microsoft.com/office/infopath/2007/PartnerControls"/>
    <ds:schemaRef ds:uri="f4db34d8-2607-4d10-b9ae-98f2622ece90"/>
    <ds:schemaRef ds:uri="8a00563d-3b28-4978-ace9-9e624d3bc865"/>
  </ds:schemaRefs>
</ds:datastoreItem>
</file>

<file path=customXml/itemProps2.xml><?xml version="1.0" encoding="utf-8"?>
<ds:datastoreItem xmlns:ds="http://schemas.openxmlformats.org/officeDocument/2006/customXml" ds:itemID="{D8ECF936-5200-4830-86B3-75AD85364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4D49-6DCF-44F7-BEA7-694E9C4A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0563d-3b28-4978-ace9-9e624d3bc865"/>
    <ds:schemaRef ds:uri="f4db34d8-2607-4d10-b9ae-98f2622e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Company>Aiber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subject>Natuurmonumenten</dc:subject>
  <dc:creator>jp</dc:creator>
  <cp:keywords/>
  <cp:lastModifiedBy>Rietveld, M.J. (Marjon)</cp:lastModifiedBy>
  <cp:revision>30</cp:revision>
  <cp:lastPrinted>2014-08-29T10:51:00Z</cp:lastPrinted>
  <dcterms:created xsi:type="dcterms:W3CDTF">2022-07-27T08:28:00Z</dcterms:created>
  <dcterms:modified xsi:type="dcterms:W3CDTF">2023-09-20T13:15:00Z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0x0101006F8D7163381D5E4BA8096EF14CCF730C</vt:lpwstr>
  </property>
  <property fmtid="{D5CDD505-2E9C-101B-9397-08002B2CF9AE}" pid="3" name="MediaServiceImageTags">
    <vt:lpwstr/>
  </property>
  <property fmtid="{D5CDD505-2E9C-101B-9397-08002B2CF9AE}" pid="4" name="Order">
    <vt:r8>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