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FB127C">
        <w:rPr>
          <w:rFonts w:ascii="Arial" w:hAnsi="Arial" w:cs="Arial"/>
          <w:b/>
          <w:bCs/>
          <w:sz w:val="20"/>
          <w:szCs w:val="20"/>
        </w:rPr>
        <w:t>Perceel 1 Oostlijn en/of Perceel 2 Noordzuidlijn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FB127C">
        <w:rPr>
          <w:rFonts w:ascii="Arial" w:hAnsi="Arial" w:cs="Arial"/>
          <w:b/>
          <w:bCs/>
          <w:sz w:val="20"/>
          <w:szCs w:val="20"/>
        </w:rPr>
        <w:t>2022-52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</w:t>
      </w:r>
      <w:bookmarkStart w:id="3" w:name="_GoBack"/>
      <w:bookmarkEnd w:id="3"/>
      <w:r>
        <w:rPr>
          <w:rFonts w:ascii="Arial" w:hAnsi="Arial" w:cs="Arial"/>
          <w:sz w:val="20"/>
          <w:szCs w:val="20"/>
        </w:rPr>
        <w:t>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242034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Tahamata, Livio</cp:lastModifiedBy>
  <cp:revision>5</cp:revision>
  <dcterms:created xsi:type="dcterms:W3CDTF">2021-06-24T11:02:00Z</dcterms:created>
  <dcterms:modified xsi:type="dcterms:W3CDTF">2022-11-21T13:32:00Z</dcterms:modified>
</cp:coreProperties>
</file>