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0715" w14:textId="2468B92F" w:rsidR="00623153" w:rsidRPr="000A4A57" w:rsidRDefault="00623153" w:rsidP="004D67CC">
      <w:pPr>
        <w:rPr>
          <w:rFonts w:cs="Arial"/>
        </w:rPr>
      </w:pPr>
      <w:bookmarkStart w:id="0" w:name="_Ref11578948"/>
      <w:bookmarkStart w:id="1" w:name="_Toc12878654"/>
      <w:bookmarkStart w:id="2" w:name="_Toc18323081"/>
      <w:r w:rsidRPr="000A4A57">
        <w:rPr>
          <w:rFonts w:cs="Arial"/>
          <w:b/>
          <w:sz w:val="24"/>
        </w:rPr>
        <w:t xml:space="preserve">Bijlage </w:t>
      </w:r>
      <w:r w:rsidR="00E3666E">
        <w:rPr>
          <w:rFonts w:cs="Arial"/>
          <w:b/>
          <w:sz w:val="24"/>
        </w:rPr>
        <w:t>8</w:t>
      </w:r>
      <w:r w:rsidR="004D67CC" w:rsidRPr="000A4A57">
        <w:rPr>
          <w:rFonts w:cs="Arial"/>
          <w:b/>
          <w:sz w:val="24"/>
        </w:rPr>
        <w:t xml:space="preserve">, </w:t>
      </w:r>
      <w:r w:rsidRPr="000A4A57">
        <w:rPr>
          <w:rFonts w:cs="Arial"/>
          <w:b/>
          <w:sz w:val="24"/>
        </w:rPr>
        <w:t>Toelichting ‘ernstige fout’</w:t>
      </w:r>
      <w:bookmarkEnd w:id="0"/>
      <w:bookmarkEnd w:id="1"/>
      <w:bookmarkEnd w:id="2"/>
    </w:p>
    <w:p w14:paraId="48ED873F" w14:textId="77777777" w:rsidR="00623153" w:rsidRPr="000A4A57" w:rsidRDefault="00623153" w:rsidP="00623153">
      <w:pPr>
        <w:rPr>
          <w:rFonts w:cs="Arial"/>
        </w:rPr>
      </w:pPr>
    </w:p>
    <w:p w14:paraId="5B6A54D3" w14:textId="0D03C54B" w:rsidR="00623153" w:rsidRPr="000A4A57" w:rsidRDefault="002251A9" w:rsidP="00623153">
      <w:pPr>
        <w:rPr>
          <w:rFonts w:cs="Arial"/>
        </w:rPr>
      </w:pPr>
      <w:r w:rsidRPr="000A4A57">
        <w:rPr>
          <w:rFonts w:cs="Arial"/>
        </w:rPr>
        <w:t xml:space="preserve">Heeft betrekking op aanbesteding </w:t>
      </w:r>
      <w:r w:rsidR="00445796">
        <w:rPr>
          <w:rFonts w:cs="Arial"/>
        </w:rPr>
        <w:t>Leiderschapsontwikkeling</w:t>
      </w:r>
      <w:r w:rsidRPr="000A4A57">
        <w:rPr>
          <w:rFonts w:cs="Arial"/>
        </w:rPr>
        <w:t xml:space="preserve">. </w:t>
      </w:r>
      <w:r w:rsidR="00623153" w:rsidRPr="000A4A57">
        <w:rPr>
          <w:rFonts w:cs="Arial"/>
        </w:rPr>
        <w:t xml:space="preserve">Ter verduidelijking van het begrip “ernstige </w:t>
      </w:r>
      <w:r w:rsidR="00D9577B" w:rsidRPr="000A4A57">
        <w:rPr>
          <w:rFonts w:cs="Arial"/>
        </w:rPr>
        <w:t>beroeps</w:t>
      </w:r>
      <w:r w:rsidR="00623153" w:rsidRPr="000A4A57">
        <w:rPr>
          <w:rFonts w:cs="Arial"/>
        </w:rPr>
        <w:t>fout” zoals bedoeld in het Uniform Europees Aanbestedingsdocument en in paragraaf 5.</w:t>
      </w:r>
      <w:r w:rsidR="00D9577B" w:rsidRPr="000A4A57">
        <w:rPr>
          <w:rFonts w:cs="Arial"/>
        </w:rPr>
        <w:t>1</w:t>
      </w:r>
      <w:r w:rsidR="00623153" w:rsidRPr="000A4A57">
        <w:rPr>
          <w:rFonts w:cs="Arial"/>
        </w:rPr>
        <w:t xml:space="preserve">. van het Beschrijvend Document deelt </w:t>
      </w:r>
      <w:r w:rsidR="00DD2081">
        <w:rPr>
          <w:rFonts w:cs="Arial"/>
        </w:rPr>
        <w:t>Hecht</w:t>
      </w:r>
      <w:r w:rsidR="00623153"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vervalsen of valselijk opmaken van een geschrift dat bestemd is om tot bewijs van enig feit te dienen;</w:t>
      </w:r>
    </w:p>
    <w:p w14:paraId="7B88656C"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0A4A57" w:rsidRDefault="00623153" w:rsidP="00623153">
      <w:pPr>
        <w:numPr>
          <w:ilvl w:val="0"/>
          <w:numId w:val="2"/>
        </w:numPr>
        <w:tabs>
          <w:tab w:val="clear" w:pos="720"/>
          <w:tab w:val="num" w:pos="600"/>
        </w:tabs>
        <w:spacing w:line="280" w:lineRule="atLeast"/>
        <w:ind w:left="600" w:hanging="600"/>
        <w:rPr>
          <w:rFonts w:cs="Arial"/>
          <w:szCs w:val="20"/>
        </w:rPr>
      </w:pPr>
      <w:r w:rsidRPr="000A4A57">
        <w:rPr>
          <w:rFonts w:cs="Arial"/>
          <w:szCs w:val="20"/>
        </w:rPr>
        <w:t xml:space="preserve">handelen of nalaten waardoor de (lichamelijke) integriteit van werknemers of andere personen ernstig in gevaar wordt gebracht, </w:t>
      </w:r>
      <w:r w:rsidRPr="000A4A57">
        <w:rPr>
          <w:rFonts w:cs="Arial"/>
        </w:rPr>
        <w:t>waaronder begrepen (arbeids)discriminatie</w:t>
      </w:r>
      <w:r w:rsidRPr="000A4A57">
        <w:rPr>
          <w:rFonts w:cs="Arial"/>
          <w:szCs w:val="20"/>
        </w:rPr>
        <w:t>;</w:t>
      </w:r>
    </w:p>
    <w:p w14:paraId="56DB291B"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direct of indirect gebruikmaken van in de EU verboden vormen van kinderarbeid; </w:t>
      </w:r>
    </w:p>
    <w:p w14:paraId="30C4C20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begaan van overtredingen op het gebied van milieuwetgeving;</w:t>
      </w:r>
    </w:p>
    <w:p w14:paraId="075482DA"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handelen in strijd met door de daartoe bevoegde autoriteit vastgestelde import-, export-, aankoop-, vervoers- en/of investeringsverboden;</w:t>
      </w:r>
    </w:p>
    <w:p w14:paraId="502CA5C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onrechtmatig handelen of tekortkomen in de nakoming van een </w:t>
      </w:r>
      <w:r w:rsidR="00D9577B" w:rsidRPr="000A4A57">
        <w:rPr>
          <w:rFonts w:cs="Arial"/>
          <w:szCs w:val="20"/>
        </w:rPr>
        <w:t xml:space="preserve">overeenkomst </w:t>
      </w:r>
      <w:r w:rsidRPr="000A4A57">
        <w:rPr>
          <w:rFonts w:cs="Arial"/>
          <w:szCs w:val="20"/>
        </w:rPr>
        <w:t>waaruit ernstige schade voortvloeit, als gevolg van grove nalatigheid, opzet of bewuste roekeloosheid;</w:t>
      </w:r>
    </w:p>
    <w:p w14:paraId="5C05CAC9" w14:textId="08D3A6C6"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begaan van gedragingen in strijd met specifiek voor het beroep of bedrijf van een Inschrijver relevante wet- en regelgeving, tuchtregels, </w:t>
      </w:r>
      <w:r w:rsidR="000974EA" w:rsidRPr="000A4A57">
        <w:rPr>
          <w:rFonts w:cs="Arial"/>
          <w:szCs w:val="20"/>
        </w:rPr>
        <w:t>toezicht regels</w:t>
      </w:r>
      <w:r w:rsidRPr="000A4A57">
        <w:rPr>
          <w:rFonts w:cs="Arial"/>
          <w:szCs w:val="20"/>
        </w:rPr>
        <w:t>, gedragsregels of gedragscodes;</w:t>
      </w:r>
    </w:p>
    <w:p w14:paraId="65416A71"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verrichten van werkzaamheden die in strijd zijn met de openbare orde; </w:t>
      </w:r>
    </w:p>
    <w:p w14:paraId="199D60B2"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2AC4BC65" w:rsidR="00623153" w:rsidRPr="000A4A57" w:rsidRDefault="00623153" w:rsidP="00623153">
      <w:pPr>
        <w:rPr>
          <w:rFonts w:cs="Arial"/>
          <w:szCs w:val="20"/>
        </w:rPr>
      </w:pPr>
      <w:r w:rsidRPr="000A4A57">
        <w:rPr>
          <w:rFonts w:cs="Arial"/>
          <w:szCs w:val="20"/>
        </w:rPr>
        <w:t xml:space="preserve">ln aanvulling hierop acht de Aanbestedende Dienst een ernstige fout in de uitoefening van het beroep aanwezig indien er ernstig gevaar bestaat dat de op grond van deze aanbestedingsprocedure gesloten </w:t>
      </w:r>
      <w:r w:rsidR="00D9577B" w:rsidRPr="000A4A57">
        <w:rPr>
          <w:rFonts w:cs="Arial"/>
          <w:szCs w:val="20"/>
        </w:rPr>
        <w:t>Raamo</w:t>
      </w:r>
      <w:r w:rsidRPr="000A4A57">
        <w:rPr>
          <w:rFonts w:cs="Arial"/>
          <w:szCs w:val="20"/>
        </w:rPr>
        <w:t>vereenkomst 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doordat de ernstige fout in de uitoefening van het beroep wordt erkend door de betrokken Inschrijver;</w:t>
      </w:r>
    </w:p>
    <w:p w14:paraId="2E2FC7DC"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eigen ervaring van voor de Aanbestedende Dienst werkzame ambtenaren, ambtsdragers of door de Aanbestedende Dienst ingehuurd personeel;</w:t>
      </w:r>
    </w:p>
    <w:p w14:paraId="7A130574"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rechterlijke uitspraak, bindend advies of arbitraal vonnis; </w:t>
      </w:r>
    </w:p>
    <w:p w14:paraId="46C53EBB"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strafrechtelijke transactie of civielrechtelijke schikking;</w:t>
      </w:r>
    </w:p>
    <w:p w14:paraId="18047510"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uitspraak of beschikking van een bevoegde autoriteit, waaronder begrepen een uitspraak of beschikking van een tuchtrechter;</w:t>
      </w:r>
    </w:p>
    <w:p w14:paraId="7E0B9437"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toezichthouder of geschillencommissie;</w:t>
      </w:r>
    </w:p>
    <w:p w14:paraId="1D42050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Bibob-advies;</w:t>
      </w:r>
    </w:p>
    <w:p w14:paraId="08C7D1E9"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73DBEF41"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9577B" w:rsidRPr="000A4A57">
        <w:rPr>
          <w:rFonts w:cs="Arial"/>
          <w:szCs w:val="20"/>
        </w:rPr>
        <w:t xml:space="preserve">Raamovereenkomst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door een Inschrijvers laten overleggen van een VOG of een Gedragsverklaring Aanbesteden;</w:t>
      </w:r>
    </w:p>
    <w:p w14:paraId="603B97B2"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open bronnen;</w:t>
      </w:r>
    </w:p>
    <w:p w14:paraId="69376C97"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gesloten bronnen;</w:t>
      </w:r>
    </w:p>
    <w:p w14:paraId="0E4DD066"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vragen van een Bibob-advies bij het Landelijk Bureau Bibob.</w:t>
      </w:r>
    </w:p>
    <w:p w14:paraId="5A408FFA" w14:textId="77777777" w:rsidR="00623153" w:rsidRPr="000A4A57" w:rsidRDefault="00623153" w:rsidP="00623153">
      <w:pPr>
        <w:rPr>
          <w:rFonts w:cs="Arial"/>
          <w:szCs w:val="20"/>
        </w:rPr>
      </w:pPr>
    </w:p>
    <w:p w14:paraId="79E04920" w14:textId="04A04711"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9577B" w:rsidRPr="000A4A57">
        <w:rPr>
          <w:rFonts w:cs="Arial"/>
          <w:szCs w:val="20"/>
        </w:rPr>
        <w:t xml:space="preserve">Raamovereenkomst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13D2FF91"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9577B" w:rsidRPr="000A4A57">
        <w:rPr>
          <w:rFonts w:cs="Arial"/>
          <w:szCs w:val="20"/>
        </w:rPr>
        <w:t xml:space="preserve">Raamovereenkomst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623153">
      <w:pPr>
        <w:numPr>
          <w:ilvl w:val="1"/>
          <w:numId w:val="4"/>
        </w:numPr>
        <w:rPr>
          <w:rFonts w:cs="Arial"/>
          <w:bCs/>
          <w:iCs/>
          <w:szCs w:val="20"/>
        </w:rPr>
      </w:pPr>
      <w:r w:rsidRPr="000A4A57">
        <w:rPr>
          <w:rFonts w:cs="Arial"/>
          <w:bCs/>
          <w:iCs/>
          <w:szCs w:val="20"/>
        </w:rPr>
        <w:t>de ernst van de overtredingen;</w:t>
      </w:r>
    </w:p>
    <w:p w14:paraId="239573A4" w14:textId="77777777" w:rsidR="00623153" w:rsidRPr="000A4A57" w:rsidRDefault="00623153" w:rsidP="00623153">
      <w:pPr>
        <w:numPr>
          <w:ilvl w:val="1"/>
          <w:numId w:val="4"/>
        </w:numPr>
        <w:rPr>
          <w:rFonts w:cs="Arial"/>
          <w:bCs/>
          <w:iCs/>
          <w:szCs w:val="20"/>
        </w:rPr>
      </w:pPr>
      <w:r w:rsidRPr="000A4A57">
        <w:rPr>
          <w:rFonts w:cs="Arial"/>
          <w:bCs/>
          <w:iCs/>
          <w:szCs w:val="20"/>
        </w:rPr>
        <w:t>de mate van betrokkenheid bij de overtredingen van leidinggevenden;</w:t>
      </w:r>
    </w:p>
    <w:p w14:paraId="378210FA" w14:textId="5430EC09" w:rsidR="00623153" w:rsidRPr="000A4A57" w:rsidRDefault="00623153" w:rsidP="00623153">
      <w:pPr>
        <w:numPr>
          <w:ilvl w:val="0"/>
          <w:numId w:val="4"/>
        </w:numPr>
        <w:rPr>
          <w:rFonts w:cs="Arial"/>
          <w:bCs/>
          <w:iCs/>
        </w:rPr>
      </w:pPr>
      <w:r w:rsidRPr="000A4A57">
        <w:rPr>
          <w:rFonts w:cs="Arial"/>
          <w:bCs/>
          <w:iCs/>
        </w:rPr>
        <w:t>de sinds de overtredingen verstreken tijd (</w:t>
      </w:r>
      <w:r w:rsidR="00DD208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623153">
      <w:pPr>
        <w:numPr>
          <w:ilvl w:val="1"/>
          <w:numId w:val="4"/>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623153">
      <w:pPr>
        <w:numPr>
          <w:ilvl w:val="1"/>
          <w:numId w:val="4"/>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623153">
      <w:pPr>
        <w:numPr>
          <w:ilvl w:val="1"/>
          <w:numId w:val="4"/>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623153">
      <w:pPr>
        <w:numPr>
          <w:ilvl w:val="1"/>
          <w:numId w:val="4"/>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623153">
      <w:pPr>
        <w:numPr>
          <w:ilvl w:val="1"/>
          <w:numId w:val="4"/>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FFE7" w14:textId="77777777" w:rsidR="00623153" w:rsidRDefault="00623153" w:rsidP="00623153">
      <w:r>
        <w:separator/>
      </w:r>
    </w:p>
  </w:endnote>
  <w:endnote w:type="continuationSeparator" w:id="0">
    <w:p w14:paraId="19264D3E" w14:textId="77777777" w:rsidR="00623153" w:rsidRDefault="00623153" w:rsidP="006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D461" w14:textId="77777777" w:rsidR="00623153" w:rsidRDefault="00623153" w:rsidP="00623153">
      <w:r>
        <w:separator/>
      </w:r>
    </w:p>
  </w:footnote>
  <w:footnote w:type="continuationSeparator" w:id="0">
    <w:p w14:paraId="2049E17B" w14:textId="77777777" w:rsidR="00623153" w:rsidRDefault="00623153" w:rsidP="0062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BC61" w14:textId="1EB79F24" w:rsidR="00E84AB3" w:rsidRPr="00E84AB3" w:rsidRDefault="00E84AB3" w:rsidP="00E84AB3">
    <w:pPr>
      <w:pStyle w:val="Koptekst"/>
    </w:pPr>
    <w:r>
      <w:rPr>
        <w:noProof/>
        <w:lang w:eastAsia="nl-NL"/>
      </w:rPr>
      <w:drawing>
        <wp:anchor distT="0" distB="0" distL="114300" distR="114300" simplePos="0" relativeHeight="251659264" behindDoc="1" locked="0" layoutInCell="1" allowOverlap="1" wp14:anchorId="0560F363" wp14:editId="1A9894D6">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983604"/>
    <w:multiLevelType w:val="hybridMultilevel"/>
    <w:tmpl w:val="DADCD54C"/>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720"/>
        </w:tabs>
        <w:ind w:left="72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3309">
    <w:abstractNumId w:val="3"/>
  </w:num>
  <w:num w:numId="2" w16cid:durableId="473180614">
    <w:abstractNumId w:val="0"/>
  </w:num>
  <w:num w:numId="3" w16cid:durableId="1772973296">
    <w:abstractNumId w:val="1"/>
  </w:num>
  <w:num w:numId="4" w16cid:durableId="75146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95CE0"/>
    <w:rsid w:val="000974EA"/>
    <w:rsid w:val="000A4A57"/>
    <w:rsid w:val="000D7051"/>
    <w:rsid w:val="002251A9"/>
    <w:rsid w:val="00363FB8"/>
    <w:rsid w:val="0040633E"/>
    <w:rsid w:val="00445796"/>
    <w:rsid w:val="004B3A6C"/>
    <w:rsid w:val="004D67CC"/>
    <w:rsid w:val="004F6CA1"/>
    <w:rsid w:val="00537054"/>
    <w:rsid w:val="0054527B"/>
    <w:rsid w:val="005615D5"/>
    <w:rsid w:val="005D648B"/>
    <w:rsid w:val="00623153"/>
    <w:rsid w:val="006335B2"/>
    <w:rsid w:val="00D844FF"/>
    <w:rsid w:val="00D9577B"/>
    <w:rsid w:val="00DD2081"/>
    <w:rsid w:val="00E3666E"/>
    <w:rsid w:val="00E84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numPr>
        <w:numId w:val="1"/>
      </w:numPr>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A5D32EF53F549925CC9B0508F8B17" ma:contentTypeVersion="4" ma:contentTypeDescription="Een nieuw document maken." ma:contentTypeScope="" ma:versionID="8c349085bb78a3745b46bd43225b62cc">
  <xsd:schema xmlns:xsd="http://www.w3.org/2001/XMLSchema" xmlns:xs="http://www.w3.org/2001/XMLSchema" xmlns:p="http://schemas.microsoft.com/office/2006/metadata/properties" xmlns:ns2="4344fb43-514d-41ff-9895-cbd77533a816" xmlns:ns3="d7dad7f5-3dc6-47ae-aab3-c4d0403cae9c" targetNamespace="http://schemas.microsoft.com/office/2006/metadata/properties" ma:root="true" ma:fieldsID="d0497d4f3d6433fe6a582ef2c5f8474b" ns2:_="" ns3:_="">
    <xsd:import namespace="4344fb43-514d-41ff-9895-cbd77533a816"/>
    <xsd:import namespace="d7dad7f5-3dc6-47ae-aab3-c4d0403cae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fb43-514d-41ff-9895-cbd77533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ad7f5-3dc6-47ae-aab3-c4d0403cae9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C92A-D45D-4A54-80A2-B1D389ACF589}">
  <ds:schemaRefs>
    <ds:schemaRef ds:uri="http://schemas.microsoft.com/sharepoint/v3/contenttype/forms"/>
  </ds:schemaRefs>
</ds:datastoreItem>
</file>

<file path=customXml/itemProps2.xml><?xml version="1.0" encoding="utf-8"?>
<ds:datastoreItem xmlns:ds="http://schemas.openxmlformats.org/officeDocument/2006/customXml" ds:itemID="{FDFE792F-5B52-42E9-9E2A-72BC9FE59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fb43-514d-41ff-9895-cbd77533a816"/>
    <ds:schemaRef ds:uri="d7dad7f5-3dc6-47ae-aab3-c4d0403ca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4F881-38A0-4647-95FB-C52D57B1A44C}">
  <ds:schemaRefs>
    <ds:schemaRef ds:uri="http://schemas.openxmlformats.org/package/2006/metadata/core-properties"/>
    <ds:schemaRef ds:uri="http://schemas.microsoft.com/office/2006/documentManagement/types"/>
    <ds:schemaRef ds:uri="http://schemas.microsoft.com/office/2006/metadata/properties"/>
    <ds:schemaRef ds:uri="4344fb43-514d-41ff-9895-cbd77533a816"/>
    <ds:schemaRef ds:uri="http://purl.org/dc/elements/1.1/"/>
    <ds:schemaRef ds:uri="http://www.w3.org/XML/1998/namespace"/>
    <ds:schemaRef ds:uri="http://purl.org/dc/terms/"/>
    <ds:schemaRef ds:uri="http://schemas.microsoft.com/office/infopath/2007/PartnerControls"/>
    <ds:schemaRef ds:uri="d7dad7f5-3dc6-47ae-aab3-c4d0403cae9c"/>
    <ds:schemaRef ds:uri="http://purl.org/dc/dcmitype/"/>
  </ds:schemaRefs>
</ds:datastoreItem>
</file>

<file path=customXml/itemProps4.xml><?xml version="1.0" encoding="utf-8"?>
<ds:datastoreItem xmlns:ds="http://schemas.openxmlformats.org/officeDocument/2006/customXml" ds:itemID="{1C14766C-357B-4F0F-AD8A-E3993540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982</Words>
  <Characters>5401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 Bijlage Ernstige beroepsfout</dc:title>
  <dc:subject>Aanbesteding Leiderschapsontwikkeling</dc:subject>
  <dc:creator>Laurens Rorive | HECHT; Laurens Rorive | RDOG HM</dc:creator>
  <cp:keywords/>
  <dc:description/>
  <cp:lastModifiedBy>Laurens Rorive</cp:lastModifiedBy>
  <cp:revision>1</cp:revision>
  <dcterms:created xsi:type="dcterms:W3CDTF">2020-11-20T08:32:00Z</dcterms:created>
  <dcterms:modified xsi:type="dcterms:W3CDTF">2023-05-03T13:33:00Z</dcterms:modified>
  <cp:contentStatus>Definitief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0x010100423A5D32EF53F549925CC9B0508F8B17</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