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A99DA" w14:textId="23A008D2" w:rsidR="00941D4E" w:rsidRPr="00056800" w:rsidRDefault="00941D4E" w:rsidP="00941D4E">
      <w:pPr>
        <w:pStyle w:val="BijlagegenummerdAD"/>
        <w:numPr>
          <w:ilvl w:val="0"/>
          <w:numId w:val="0"/>
        </w:numPr>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434431723"/>
      <w:bookmarkStart w:id="11" w:name="_Toc127277751"/>
      <w:r w:rsidRPr="00056800">
        <w:rPr>
          <w:rFonts w:cs="Arial"/>
        </w:rPr>
        <w:t>Programma van eisen</w:t>
      </w:r>
      <w:bookmarkEnd w:id="0"/>
      <w:bookmarkEnd w:id="1"/>
      <w:bookmarkEnd w:id="2"/>
      <w:bookmarkEnd w:id="3"/>
      <w:bookmarkEnd w:id="4"/>
      <w:bookmarkEnd w:id="5"/>
      <w:bookmarkEnd w:id="6"/>
      <w:bookmarkEnd w:id="7"/>
      <w:bookmarkEnd w:id="8"/>
      <w:bookmarkEnd w:id="9"/>
      <w:bookmarkEnd w:id="10"/>
      <w:bookmarkEnd w:id="11"/>
    </w:p>
    <w:p w14:paraId="1010E7B9" w14:textId="6C0C0170" w:rsidR="009511F9" w:rsidRDefault="00941D4E" w:rsidP="00AF71B0">
      <w:pPr>
        <w:rPr>
          <w:szCs w:val="19"/>
        </w:rPr>
      </w:pPr>
      <w:r>
        <w:rPr>
          <w:szCs w:val="19"/>
        </w:rPr>
        <w:t>De volgende eisen worden gesteld:</w:t>
      </w:r>
    </w:p>
    <w:p w14:paraId="7F03F1E0" w14:textId="55631FA0" w:rsidR="00941D4E" w:rsidRDefault="00941D4E" w:rsidP="00AF71B0">
      <w:pPr>
        <w:rPr>
          <w:szCs w:val="19"/>
        </w:rPr>
      </w:pPr>
    </w:p>
    <w:tbl>
      <w:tblPr>
        <w:tblStyle w:val="Tabelraster"/>
        <w:tblW w:w="0" w:type="auto"/>
        <w:tblLook w:val="04A0" w:firstRow="1" w:lastRow="0" w:firstColumn="1" w:lastColumn="0" w:noHBand="0" w:noVBand="1"/>
      </w:tblPr>
      <w:tblGrid>
        <w:gridCol w:w="669"/>
        <w:gridCol w:w="8618"/>
      </w:tblGrid>
      <w:tr w:rsidR="00941D4E" w:rsidRPr="00941D4E" w14:paraId="4E511D80" w14:textId="77777777" w:rsidTr="00941D4E">
        <w:tc>
          <w:tcPr>
            <w:tcW w:w="9437" w:type="dxa"/>
            <w:gridSpan w:val="2"/>
            <w:shd w:val="clear" w:color="auto" w:fill="D9D9D9" w:themeFill="background1" w:themeFillShade="D9"/>
          </w:tcPr>
          <w:p w14:paraId="04CD2D57" w14:textId="13527749" w:rsidR="00941D4E" w:rsidRPr="00941D4E" w:rsidRDefault="00941D4E" w:rsidP="00941D4E">
            <w:pPr>
              <w:spacing w:line="240" w:lineRule="atLeast"/>
              <w:rPr>
                <w:rFonts w:asciiTheme="minorHAnsi" w:hAnsiTheme="minorHAnsi" w:cstheme="minorHAnsi"/>
                <w:b/>
                <w:bCs/>
                <w:sz w:val="20"/>
                <w:szCs w:val="20"/>
              </w:rPr>
            </w:pPr>
            <w:r w:rsidRPr="00941D4E">
              <w:rPr>
                <w:rFonts w:asciiTheme="minorHAnsi" w:hAnsiTheme="minorHAnsi" w:cstheme="minorHAnsi"/>
                <w:b/>
                <w:bCs/>
                <w:sz w:val="20"/>
                <w:szCs w:val="20"/>
              </w:rPr>
              <w:t>Personeel</w:t>
            </w:r>
          </w:p>
        </w:tc>
      </w:tr>
      <w:tr w:rsidR="00941D4E" w:rsidRPr="00941D4E" w14:paraId="2CD51616" w14:textId="77777777" w:rsidTr="00941D4E">
        <w:tc>
          <w:tcPr>
            <w:tcW w:w="675" w:type="dxa"/>
          </w:tcPr>
          <w:p w14:paraId="18E58880" w14:textId="3D21A84D"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1</w:t>
            </w:r>
          </w:p>
        </w:tc>
        <w:tc>
          <w:tcPr>
            <w:tcW w:w="8762" w:type="dxa"/>
          </w:tcPr>
          <w:p w14:paraId="31A0FD1C" w14:textId="77777777" w:rsidR="00941D4E" w:rsidRPr="00941D4E" w:rsidRDefault="00941D4E" w:rsidP="00941D4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tLeast"/>
              <w:rPr>
                <w:rFonts w:asciiTheme="minorHAnsi" w:hAnsiTheme="minorHAnsi" w:cstheme="minorHAnsi"/>
                <w:sz w:val="20"/>
                <w:szCs w:val="20"/>
              </w:rPr>
            </w:pPr>
            <w:r w:rsidRPr="00941D4E">
              <w:rPr>
                <w:rFonts w:asciiTheme="minorHAnsi" w:hAnsiTheme="minorHAnsi" w:cstheme="minorHAnsi"/>
                <w:sz w:val="20"/>
                <w:szCs w:val="20"/>
              </w:rPr>
              <w:t>Opleiding en vaardigheden in te zetten medewerkers.</w:t>
            </w:r>
          </w:p>
          <w:p w14:paraId="38B2578A" w14:textId="081AE68E"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 xml:space="preserve">Naast de inzet van vakbekwaam, geschoold en betrouwbaar personeel is inzet van medewerkers die representatief, communicatief vaardig, proactief, integer en discreet zijn een vereiste. Voor representativiteit geldt dat het aan Opdrachtgever is om te beoordelen of in te zetten medewerkers voldoen aan de representativiteit zoals verlangd mag worden in deze omgeving. Medewerkers zijn in het bezit van een grijze beveiligingspas. Medewerkers dienen de Engelse taal te spreken. </w:t>
            </w:r>
          </w:p>
        </w:tc>
      </w:tr>
      <w:tr w:rsidR="00941D4E" w:rsidRPr="00941D4E" w14:paraId="019E8F97" w14:textId="77777777" w:rsidTr="00941D4E">
        <w:tc>
          <w:tcPr>
            <w:tcW w:w="675" w:type="dxa"/>
          </w:tcPr>
          <w:p w14:paraId="05BD1260" w14:textId="4F42697E"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2</w:t>
            </w:r>
          </w:p>
        </w:tc>
        <w:tc>
          <w:tcPr>
            <w:tcW w:w="8762" w:type="dxa"/>
          </w:tcPr>
          <w:p w14:paraId="4176B22F" w14:textId="0B0B7EBA"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 xml:space="preserve">De medewerkers moeten in bezit zijn van een BHV certificaat om op te kunnen treden bij calamiteiten en incidenten. </w:t>
            </w:r>
          </w:p>
        </w:tc>
      </w:tr>
      <w:tr w:rsidR="00941D4E" w:rsidRPr="00941D4E" w14:paraId="1E79B376" w14:textId="77777777" w:rsidTr="00941D4E">
        <w:tc>
          <w:tcPr>
            <w:tcW w:w="675" w:type="dxa"/>
          </w:tcPr>
          <w:p w14:paraId="3AF75784" w14:textId="41D5D73F"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3</w:t>
            </w:r>
          </w:p>
        </w:tc>
        <w:tc>
          <w:tcPr>
            <w:tcW w:w="8762" w:type="dxa"/>
          </w:tcPr>
          <w:p w14:paraId="53094E55" w14:textId="77777777" w:rsidR="00941D4E" w:rsidRPr="00941D4E" w:rsidRDefault="00941D4E" w:rsidP="00941D4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tLeast"/>
              <w:rPr>
                <w:rFonts w:asciiTheme="minorHAnsi" w:hAnsiTheme="minorHAnsi" w:cstheme="minorHAnsi"/>
                <w:sz w:val="20"/>
                <w:szCs w:val="20"/>
              </w:rPr>
            </w:pPr>
            <w:r w:rsidRPr="00941D4E">
              <w:rPr>
                <w:rFonts w:asciiTheme="minorHAnsi" w:hAnsiTheme="minorHAnsi" w:cstheme="minorHAnsi"/>
                <w:sz w:val="20"/>
                <w:szCs w:val="20"/>
              </w:rPr>
              <w:t>Representativiteit en taalvaardigheid medewerkers</w:t>
            </w:r>
          </w:p>
          <w:p w14:paraId="3DE53D9E" w14:textId="270EE587"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Medewerkers van de Opdrachtnemer zijn tijdens de uitvoering van de werkzaamheden duidelijk herkenbaar gekleed in uniforme, correcte en schone bedrijfskleding. Het uniform van de functionaris dient voorzien te zijn van het vignet ‘V’. Medewerkers die niet aan deze eis voldoen, kunnen worden geweigerd.</w:t>
            </w:r>
          </w:p>
        </w:tc>
      </w:tr>
      <w:tr w:rsidR="00941D4E" w:rsidRPr="00941D4E" w14:paraId="2C55CD83" w14:textId="77777777" w:rsidTr="00941D4E">
        <w:tc>
          <w:tcPr>
            <w:tcW w:w="675" w:type="dxa"/>
          </w:tcPr>
          <w:p w14:paraId="3DE68045" w14:textId="43AF68DF"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4</w:t>
            </w:r>
          </w:p>
        </w:tc>
        <w:tc>
          <w:tcPr>
            <w:tcW w:w="8762" w:type="dxa"/>
          </w:tcPr>
          <w:p w14:paraId="4ED3BF11" w14:textId="01882CEF"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Medewerkers van de Opdrachtnemer beheersen de Nederlandse taal in woord en geschrift op B2-niveau1 en tenminste in de mate die nodig is voor het goed kunnen uitvoeren van de werkzaamheden. Kan in vloeiend en vlot Nederlands reageren zodat een normale informatie-uitwisseling met moedertaalsprekers mogelijk is zonder dat dit voor één van de partijen inspanningen met zich meebrengt.</w:t>
            </w:r>
          </w:p>
        </w:tc>
      </w:tr>
      <w:tr w:rsidR="00941D4E" w:rsidRPr="00941D4E" w14:paraId="5D1414EB" w14:textId="77777777" w:rsidTr="00941D4E">
        <w:tc>
          <w:tcPr>
            <w:tcW w:w="675" w:type="dxa"/>
          </w:tcPr>
          <w:p w14:paraId="72B9E85D" w14:textId="3B571CD0"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5</w:t>
            </w:r>
          </w:p>
        </w:tc>
        <w:tc>
          <w:tcPr>
            <w:tcW w:w="8762" w:type="dxa"/>
          </w:tcPr>
          <w:p w14:paraId="61142674" w14:textId="60308BD6"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De Opdrachtnemer beschikt daarnaast over adresgegevens, BSN nummer, kopieën van geldige identiteitspapieren (verblijfs- en tewerkstellingsvergunning indien niet in het bezit van Nederlands paspoort en geboren buiten de EU) van de bij de Opdrachtgever in te zetten medewerkers. De Opdrachtgever kan de Opdrachtnemer verzoeken persoonsgegevens van het in te zetten personeel aan te leveren voor een veiligheidscheck en/of –onderzoek.</w:t>
            </w:r>
          </w:p>
        </w:tc>
      </w:tr>
      <w:tr w:rsidR="00941D4E" w:rsidRPr="00941D4E" w14:paraId="2EC4431C" w14:textId="77777777" w:rsidTr="00941D4E">
        <w:tc>
          <w:tcPr>
            <w:tcW w:w="675" w:type="dxa"/>
          </w:tcPr>
          <w:p w14:paraId="667360F9" w14:textId="43DF6C36"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6</w:t>
            </w:r>
          </w:p>
        </w:tc>
        <w:tc>
          <w:tcPr>
            <w:tcW w:w="8762" w:type="dxa"/>
          </w:tcPr>
          <w:p w14:paraId="417187BB" w14:textId="77777777" w:rsidR="00941D4E" w:rsidRPr="00941D4E" w:rsidRDefault="00941D4E" w:rsidP="00941D4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tLeast"/>
              <w:rPr>
                <w:rFonts w:asciiTheme="minorHAnsi" w:hAnsiTheme="minorHAnsi" w:cstheme="minorHAnsi"/>
                <w:sz w:val="20"/>
                <w:szCs w:val="20"/>
              </w:rPr>
            </w:pPr>
            <w:r w:rsidRPr="00941D4E">
              <w:rPr>
                <w:rFonts w:asciiTheme="minorHAnsi" w:hAnsiTheme="minorHAnsi" w:cstheme="minorHAnsi"/>
                <w:sz w:val="20"/>
                <w:szCs w:val="20"/>
              </w:rPr>
              <w:t>Legitimatie</w:t>
            </w:r>
          </w:p>
          <w:p w14:paraId="735C15FB" w14:textId="3B70E0F5"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Alle medewerkers die door de Opdrachtnemer voor de Opdrachtgever worden ingezet dienen zich op ieder moment tijdens de uitvoering van de dienstverlening te kunnen legitimeren door middel van het wettelijk voorgeschreven legitimatiebewijs, als bedoeld in artikel 9.8 van de Wet Particuliere beveiligingsorganisaties en recherchebureaus (WPB).</w:t>
            </w:r>
          </w:p>
        </w:tc>
      </w:tr>
      <w:tr w:rsidR="00941D4E" w:rsidRPr="00941D4E" w14:paraId="1F0EBEFD" w14:textId="77777777" w:rsidTr="00941D4E">
        <w:tc>
          <w:tcPr>
            <w:tcW w:w="675" w:type="dxa"/>
          </w:tcPr>
          <w:p w14:paraId="3A6D5D92" w14:textId="13B25ECD"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7</w:t>
            </w:r>
          </w:p>
        </w:tc>
        <w:tc>
          <w:tcPr>
            <w:tcW w:w="8762" w:type="dxa"/>
          </w:tcPr>
          <w:p w14:paraId="7472F08A" w14:textId="77777777" w:rsidR="00941D4E" w:rsidRPr="00941D4E" w:rsidRDefault="00941D4E" w:rsidP="00941D4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tLeast"/>
              <w:rPr>
                <w:rFonts w:asciiTheme="minorHAnsi" w:hAnsiTheme="minorHAnsi" w:cstheme="minorHAnsi"/>
                <w:sz w:val="20"/>
                <w:szCs w:val="20"/>
              </w:rPr>
            </w:pPr>
            <w:r w:rsidRPr="00941D4E">
              <w:rPr>
                <w:rFonts w:asciiTheme="minorHAnsi" w:hAnsiTheme="minorHAnsi" w:cstheme="minorHAnsi"/>
                <w:sz w:val="20"/>
                <w:szCs w:val="20"/>
              </w:rPr>
              <w:t>Continuïteit team</w:t>
            </w:r>
          </w:p>
          <w:p w14:paraId="10AB84B5" w14:textId="7882E0A8"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De opdracht wordt zoveel mogelijk uitgevoerd door dezelfde functionarissen. De Opdrachtnemer spant zich in om continuïteit in het team te borgen. In geval van tijdelijke (vakantie, ziekte) of structurele (vertrek) uitval van medewerkers vindt een adequate overdracht plaats.</w:t>
            </w:r>
          </w:p>
        </w:tc>
      </w:tr>
      <w:tr w:rsidR="00941D4E" w:rsidRPr="00941D4E" w14:paraId="0570A396" w14:textId="77777777" w:rsidTr="00941D4E">
        <w:tc>
          <w:tcPr>
            <w:tcW w:w="9437" w:type="dxa"/>
            <w:gridSpan w:val="2"/>
            <w:shd w:val="clear" w:color="auto" w:fill="D9D9D9" w:themeFill="background1" w:themeFillShade="D9"/>
          </w:tcPr>
          <w:p w14:paraId="0A80ACC4" w14:textId="2189C4E9" w:rsidR="00941D4E" w:rsidRPr="00941D4E" w:rsidRDefault="00941D4E" w:rsidP="00941D4E">
            <w:pPr>
              <w:spacing w:line="240" w:lineRule="atLeast"/>
              <w:rPr>
                <w:rFonts w:asciiTheme="minorHAnsi" w:hAnsiTheme="minorHAnsi" w:cstheme="minorHAnsi"/>
                <w:b/>
                <w:bCs/>
                <w:sz w:val="20"/>
                <w:szCs w:val="20"/>
              </w:rPr>
            </w:pPr>
            <w:r w:rsidRPr="00941D4E">
              <w:rPr>
                <w:rFonts w:asciiTheme="minorHAnsi" w:hAnsiTheme="minorHAnsi" w:cstheme="minorHAnsi"/>
                <w:b/>
                <w:bCs/>
                <w:sz w:val="20"/>
                <w:szCs w:val="20"/>
              </w:rPr>
              <w:t>Uitvoering</w:t>
            </w:r>
          </w:p>
        </w:tc>
      </w:tr>
      <w:tr w:rsidR="00941D4E" w:rsidRPr="00941D4E" w14:paraId="316DF1C2" w14:textId="77777777" w:rsidTr="00941D4E">
        <w:tc>
          <w:tcPr>
            <w:tcW w:w="675" w:type="dxa"/>
          </w:tcPr>
          <w:p w14:paraId="48721BA0" w14:textId="3CEBA1E9"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8</w:t>
            </w:r>
          </w:p>
        </w:tc>
        <w:tc>
          <w:tcPr>
            <w:tcW w:w="8762" w:type="dxa"/>
          </w:tcPr>
          <w:p w14:paraId="5C9A95B4" w14:textId="1EA346DC" w:rsidR="00941D4E" w:rsidRPr="00941D4E" w:rsidRDefault="00941D4E" w:rsidP="00941D4E">
            <w:pPr>
              <w:spacing w:line="240" w:lineRule="atLeast"/>
              <w:rPr>
                <w:rFonts w:asciiTheme="minorHAnsi" w:hAnsiTheme="minorHAnsi" w:cstheme="minorHAnsi"/>
                <w:sz w:val="20"/>
                <w:szCs w:val="20"/>
              </w:rPr>
            </w:pPr>
            <w:r w:rsidRPr="00941D4E">
              <w:rPr>
                <w:rFonts w:asciiTheme="minorHAnsi" w:eastAsia="CIDFont+F1" w:hAnsiTheme="minorHAnsi" w:cstheme="minorHAnsi"/>
                <w:sz w:val="20"/>
                <w:szCs w:val="20"/>
              </w:rPr>
              <w:t>Opdrachtnemer dien de gastvrijheid en gastvrijheid en veiligheid te borgen om ervoor te zorgen dat de vluchtelingen zich veilig voelen en welkom voelen, maar ook dat de omgeving geen overlast ervaart.</w:t>
            </w:r>
          </w:p>
        </w:tc>
      </w:tr>
      <w:tr w:rsidR="00941D4E" w:rsidRPr="00941D4E" w14:paraId="73DFE822" w14:textId="77777777" w:rsidTr="00941D4E">
        <w:tc>
          <w:tcPr>
            <w:tcW w:w="675" w:type="dxa"/>
          </w:tcPr>
          <w:p w14:paraId="24E9EBB7" w14:textId="36AF2D67"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9</w:t>
            </w:r>
          </w:p>
        </w:tc>
        <w:tc>
          <w:tcPr>
            <w:tcW w:w="8762" w:type="dxa"/>
          </w:tcPr>
          <w:p w14:paraId="78E21BDE" w14:textId="77777777" w:rsidR="00941D4E" w:rsidRPr="00941D4E" w:rsidRDefault="00941D4E" w:rsidP="00941D4E">
            <w:pPr>
              <w:autoSpaceDE w:val="0"/>
              <w:autoSpaceDN w:val="0"/>
              <w:adjustRightInd w:val="0"/>
              <w:spacing w:line="240" w:lineRule="atLeast"/>
              <w:rPr>
                <w:rFonts w:asciiTheme="minorHAnsi" w:eastAsia="CIDFont+F1" w:hAnsiTheme="minorHAnsi" w:cstheme="minorHAnsi"/>
                <w:sz w:val="20"/>
                <w:szCs w:val="20"/>
              </w:rPr>
            </w:pPr>
            <w:r w:rsidRPr="00941D4E">
              <w:rPr>
                <w:rFonts w:asciiTheme="minorHAnsi" w:eastAsia="CIDFont+F1" w:hAnsiTheme="minorHAnsi" w:cstheme="minorHAnsi"/>
                <w:sz w:val="20"/>
                <w:szCs w:val="20"/>
              </w:rPr>
              <w:t>De beveiliging is verantwoordelijk voor het uitvoeren van een brand- en sluitronde en surveillance in het gebouw en op het buitenterrein. Controleren en vrijhouden van vluchtwegen. Rondes lopen en brandgevaarlijke situaties signaleren en voorkomen. Er worden geregeld surveillance binnen en buiten gedaan om na te gaan of alles goed gaat en waar nodig bewoners van het terrein aan te spreken op gedrag. Het aanspreken op gedrag gaat over opruimen (afval / spullen), maar ook over omgang met elkaar, veiligheid van de kinderen etc.</w:t>
            </w:r>
          </w:p>
          <w:p w14:paraId="3D049549" w14:textId="15540B76" w:rsidR="00941D4E" w:rsidRPr="00941D4E" w:rsidRDefault="00941D4E" w:rsidP="00941D4E">
            <w:pPr>
              <w:spacing w:line="240" w:lineRule="atLeast"/>
              <w:rPr>
                <w:rFonts w:asciiTheme="minorHAnsi" w:hAnsiTheme="minorHAnsi" w:cstheme="minorHAnsi"/>
                <w:sz w:val="20"/>
                <w:szCs w:val="20"/>
              </w:rPr>
            </w:pPr>
            <w:r w:rsidRPr="00941D4E">
              <w:rPr>
                <w:rFonts w:asciiTheme="minorHAnsi" w:eastAsia="CIDFont+F1" w:hAnsiTheme="minorHAnsi" w:cstheme="minorHAnsi"/>
                <w:sz w:val="20"/>
                <w:szCs w:val="20"/>
              </w:rPr>
              <w:t>Bereid zijn om in noodsituaties naar HAP of spoedeisend hulp te rijden.</w:t>
            </w:r>
          </w:p>
        </w:tc>
      </w:tr>
      <w:tr w:rsidR="00941D4E" w:rsidRPr="00941D4E" w14:paraId="5D1CE43A" w14:textId="77777777" w:rsidTr="00941D4E">
        <w:tc>
          <w:tcPr>
            <w:tcW w:w="675" w:type="dxa"/>
          </w:tcPr>
          <w:p w14:paraId="1E308E45" w14:textId="7E94A888"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10</w:t>
            </w:r>
          </w:p>
        </w:tc>
        <w:tc>
          <w:tcPr>
            <w:tcW w:w="8762" w:type="dxa"/>
          </w:tcPr>
          <w:p w14:paraId="5448726D" w14:textId="77777777" w:rsidR="00941D4E" w:rsidRPr="00941D4E" w:rsidRDefault="00941D4E" w:rsidP="00941D4E">
            <w:pPr>
              <w:autoSpaceDE w:val="0"/>
              <w:autoSpaceDN w:val="0"/>
              <w:adjustRightInd w:val="0"/>
              <w:spacing w:line="240" w:lineRule="atLeast"/>
              <w:rPr>
                <w:rFonts w:asciiTheme="minorHAnsi" w:eastAsia="CIDFont+F1" w:hAnsiTheme="minorHAnsi" w:cstheme="minorHAnsi"/>
                <w:sz w:val="20"/>
                <w:szCs w:val="20"/>
              </w:rPr>
            </w:pPr>
            <w:r w:rsidRPr="00941D4E">
              <w:rPr>
                <w:rFonts w:asciiTheme="minorHAnsi" w:eastAsia="CIDFont+F1" w:hAnsiTheme="minorHAnsi" w:cstheme="minorHAnsi"/>
                <w:sz w:val="20"/>
                <w:szCs w:val="20"/>
              </w:rPr>
              <w:t>De beveiliging treedt op bij calamiteiten en onregelmatigheden in de gebouwen, op het terrein en net buiten de hekken. In het gebouw en op het terrein gaat het om incidenten onderling, maar ook om optreden bij middelengebruik en overtreding van andere gedragsregels die op het terrein gelden. We verwachten ook dat onze beveiligers bij moeilijke gesprekken of opstootjes de-escalerende gesprekken kunnen voeren.</w:t>
            </w:r>
          </w:p>
          <w:p w14:paraId="7A5AA127" w14:textId="77777777" w:rsidR="00941D4E" w:rsidRPr="00941D4E" w:rsidRDefault="00941D4E" w:rsidP="00941D4E">
            <w:pPr>
              <w:autoSpaceDE w:val="0"/>
              <w:autoSpaceDN w:val="0"/>
              <w:adjustRightInd w:val="0"/>
              <w:spacing w:line="240" w:lineRule="atLeast"/>
              <w:rPr>
                <w:rFonts w:asciiTheme="minorHAnsi" w:eastAsia="CIDFont+F1" w:hAnsiTheme="minorHAnsi" w:cstheme="minorHAnsi"/>
                <w:sz w:val="20"/>
                <w:szCs w:val="20"/>
              </w:rPr>
            </w:pPr>
            <w:r w:rsidRPr="00941D4E">
              <w:rPr>
                <w:rFonts w:asciiTheme="minorHAnsi" w:eastAsia="CIDFont+F1" w:hAnsiTheme="minorHAnsi" w:cstheme="minorHAnsi"/>
                <w:sz w:val="20"/>
                <w:szCs w:val="20"/>
              </w:rPr>
              <w:lastRenderedPageBreak/>
              <w:t>De beveiliging zorgt voor het de-escaleren van calamiteiten en onregelmatigheden op het terrein of tussen bewoners en rapporteert deze bij het locatiemanagement . Zij bepalen vervolgens de sanctie voor de bewoner.</w:t>
            </w:r>
          </w:p>
          <w:p w14:paraId="47CEA1AA" w14:textId="77777777" w:rsidR="00941D4E" w:rsidRPr="00941D4E" w:rsidRDefault="00941D4E" w:rsidP="00941D4E">
            <w:pPr>
              <w:spacing w:line="240" w:lineRule="atLeast"/>
              <w:rPr>
                <w:rFonts w:asciiTheme="minorHAnsi" w:hAnsiTheme="minorHAnsi" w:cstheme="minorHAnsi"/>
                <w:sz w:val="20"/>
                <w:szCs w:val="20"/>
              </w:rPr>
            </w:pPr>
          </w:p>
        </w:tc>
      </w:tr>
      <w:tr w:rsidR="00941D4E" w:rsidRPr="00941D4E" w14:paraId="26F16DAA" w14:textId="77777777" w:rsidTr="00941D4E">
        <w:tc>
          <w:tcPr>
            <w:tcW w:w="675" w:type="dxa"/>
          </w:tcPr>
          <w:p w14:paraId="0AC8FB4C" w14:textId="65E311FC"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lastRenderedPageBreak/>
              <w:t>11</w:t>
            </w:r>
          </w:p>
        </w:tc>
        <w:tc>
          <w:tcPr>
            <w:tcW w:w="8762" w:type="dxa"/>
          </w:tcPr>
          <w:p w14:paraId="5B5D5778" w14:textId="01E5420B" w:rsidR="00941D4E" w:rsidRPr="00941D4E" w:rsidRDefault="00941D4E" w:rsidP="00941D4E">
            <w:pPr>
              <w:spacing w:line="240" w:lineRule="atLeast"/>
              <w:rPr>
                <w:rFonts w:asciiTheme="minorHAnsi" w:hAnsiTheme="minorHAnsi" w:cstheme="minorHAnsi"/>
                <w:sz w:val="20"/>
                <w:szCs w:val="20"/>
              </w:rPr>
            </w:pPr>
            <w:r w:rsidRPr="00941D4E">
              <w:rPr>
                <w:rFonts w:asciiTheme="minorHAnsi" w:eastAsia="CIDFont+F1" w:hAnsiTheme="minorHAnsi" w:cstheme="minorHAnsi"/>
                <w:sz w:val="20"/>
                <w:szCs w:val="20"/>
              </w:rPr>
              <w:t>Het omliggende terrein wordt door de beveiliging in de gaten gehouden en indien nodig wordt ingegrepen om overlast te voorkomen. Daarnaast ziet de beveiliging er op toe dat er geen onbevoegden zich in het gebouw of op het terrein bevinden.</w:t>
            </w:r>
          </w:p>
        </w:tc>
      </w:tr>
      <w:tr w:rsidR="00941D4E" w:rsidRPr="00941D4E" w14:paraId="421AF82D" w14:textId="77777777" w:rsidTr="00941D4E">
        <w:tc>
          <w:tcPr>
            <w:tcW w:w="675" w:type="dxa"/>
          </w:tcPr>
          <w:p w14:paraId="3B938970" w14:textId="556ABE0E"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12</w:t>
            </w:r>
          </w:p>
        </w:tc>
        <w:tc>
          <w:tcPr>
            <w:tcW w:w="8762" w:type="dxa"/>
          </w:tcPr>
          <w:p w14:paraId="7704CB08" w14:textId="77777777" w:rsidR="00941D4E" w:rsidRPr="00941D4E" w:rsidRDefault="00941D4E" w:rsidP="00941D4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tLeast"/>
              <w:rPr>
                <w:rFonts w:asciiTheme="minorHAnsi" w:hAnsiTheme="minorHAnsi" w:cstheme="minorHAnsi"/>
                <w:sz w:val="20"/>
                <w:szCs w:val="20"/>
              </w:rPr>
            </w:pPr>
            <w:r w:rsidRPr="00941D4E">
              <w:rPr>
                <w:rFonts w:asciiTheme="minorHAnsi" w:hAnsiTheme="minorHAnsi" w:cstheme="minorHAnsi"/>
                <w:sz w:val="20"/>
                <w:szCs w:val="20"/>
              </w:rPr>
              <w:t xml:space="preserve">Mobiele telefoon/bereikbaarheid </w:t>
            </w:r>
          </w:p>
          <w:p w14:paraId="260C54B9" w14:textId="0DEDF58F"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Personeel van de Opdrachtnemer dient in het bezit te zijn van een mobiele telefoon waarvan telefoonnummers zijn uitgewisseld en die bereikbaar is tijdens zijn of haar dienst. De telefoon wordt direct en persoonlijk opgenomen, er wordt niet gewerkt met doorverwijzen naar digitale antwoordsystemen en voicemails</w:t>
            </w:r>
          </w:p>
        </w:tc>
      </w:tr>
      <w:tr w:rsidR="00941D4E" w:rsidRPr="00941D4E" w14:paraId="0AFC5E5C" w14:textId="77777777" w:rsidTr="00941D4E">
        <w:tc>
          <w:tcPr>
            <w:tcW w:w="675" w:type="dxa"/>
          </w:tcPr>
          <w:p w14:paraId="5C983894" w14:textId="47661BDE" w:rsidR="00941D4E" w:rsidRPr="00941D4E" w:rsidRDefault="00941D4E" w:rsidP="00941D4E">
            <w:pPr>
              <w:spacing w:line="240" w:lineRule="atLeast"/>
              <w:rPr>
                <w:rFonts w:asciiTheme="minorHAnsi" w:hAnsiTheme="minorHAnsi" w:cstheme="minorHAnsi"/>
                <w:sz w:val="20"/>
                <w:szCs w:val="20"/>
              </w:rPr>
            </w:pPr>
            <w:r>
              <w:rPr>
                <w:rFonts w:asciiTheme="minorHAnsi" w:hAnsiTheme="minorHAnsi" w:cstheme="minorHAnsi"/>
                <w:sz w:val="20"/>
                <w:szCs w:val="20"/>
              </w:rPr>
              <w:t>13</w:t>
            </w:r>
          </w:p>
        </w:tc>
        <w:tc>
          <w:tcPr>
            <w:tcW w:w="8762" w:type="dxa"/>
          </w:tcPr>
          <w:p w14:paraId="347D65DD" w14:textId="77777777" w:rsidR="00941D4E" w:rsidRPr="00941D4E" w:rsidRDefault="00941D4E" w:rsidP="00941D4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tLeast"/>
              <w:rPr>
                <w:rFonts w:asciiTheme="minorHAnsi" w:hAnsiTheme="minorHAnsi" w:cstheme="minorHAnsi"/>
                <w:sz w:val="20"/>
                <w:szCs w:val="20"/>
              </w:rPr>
            </w:pPr>
            <w:r w:rsidRPr="00941D4E">
              <w:rPr>
                <w:rFonts w:asciiTheme="minorHAnsi" w:hAnsiTheme="minorHAnsi" w:cstheme="minorHAnsi"/>
                <w:sz w:val="20"/>
                <w:szCs w:val="20"/>
              </w:rPr>
              <w:t>Communicatie en afstemming</w:t>
            </w:r>
          </w:p>
          <w:p w14:paraId="49B9A0E2" w14:textId="77777777" w:rsidR="00941D4E" w:rsidRPr="00941D4E" w:rsidRDefault="00941D4E" w:rsidP="00941D4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40" w:lineRule="atLeast"/>
              <w:rPr>
                <w:rFonts w:asciiTheme="minorHAnsi" w:hAnsiTheme="minorHAnsi" w:cstheme="minorHAnsi"/>
                <w:sz w:val="20"/>
                <w:szCs w:val="20"/>
              </w:rPr>
            </w:pPr>
            <w:r w:rsidRPr="00941D4E">
              <w:rPr>
                <w:rFonts w:asciiTheme="minorHAnsi" w:hAnsiTheme="minorHAnsi" w:cstheme="minorHAnsi"/>
                <w:sz w:val="20"/>
                <w:szCs w:val="20"/>
              </w:rPr>
              <w:t>De functionarissen van de Opdrachtnemer staan onder leiding van de contactpersoon van de Opdrachtgever. Het is de functionarissen verboden opdrachten en/of verzoeken uit te voeren, welke niet door de contactpersoon van de Opdrachtgever of diens vervangers of de dienstdoende piketfunctionaris zijn gedaan.</w:t>
            </w:r>
          </w:p>
          <w:p w14:paraId="56BF7BC7" w14:textId="715DD085" w:rsidR="00941D4E" w:rsidRPr="00941D4E" w:rsidRDefault="00941D4E" w:rsidP="00941D4E">
            <w:pPr>
              <w:spacing w:line="240" w:lineRule="atLeast"/>
              <w:rPr>
                <w:rFonts w:asciiTheme="minorHAnsi" w:hAnsiTheme="minorHAnsi" w:cstheme="minorHAnsi"/>
                <w:sz w:val="20"/>
                <w:szCs w:val="20"/>
              </w:rPr>
            </w:pPr>
            <w:r w:rsidRPr="00941D4E">
              <w:rPr>
                <w:rFonts w:asciiTheme="minorHAnsi" w:hAnsiTheme="minorHAnsi" w:cstheme="minorHAnsi"/>
                <w:sz w:val="20"/>
                <w:szCs w:val="20"/>
              </w:rPr>
              <w:t>De functionarissen van de Opdrachtnemer rapporteren aan contactpersoon van de Opdrachtgever.</w:t>
            </w:r>
          </w:p>
        </w:tc>
      </w:tr>
    </w:tbl>
    <w:p w14:paraId="56C123B3" w14:textId="77777777" w:rsidR="00941D4E" w:rsidRPr="00192FCF" w:rsidRDefault="00941D4E" w:rsidP="00AF71B0">
      <w:pPr>
        <w:rPr>
          <w:szCs w:val="19"/>
        </w:rPr>
      </w:pPr>
    </w:p>
    <w:sectPr w:rsidR="00941D4E" w:rsidRPr="00192FCF" w:rsidSect="00192FCF">
      <w:pgSz w:w="11906" w:h="16838"/>
      <w:pgMar w:top="1701" w:right="851" w:bottom="1701"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0C57"/>
    <w:multiLevelType w:val="hybridMultilevel"/>
    <w:tmpl w:val="2D547C52"/>
    <w:lvl w:ilvl="0" w:tplc="5A6652C2">
      <w:start w:val="1"/>
      <w:numFmt w:val="decimal"/>
      <w:pStyle w:val="BijlagegenummerdAD"/>
      <w:lvlText w:val="Bijlage %1AD."/>
      <w:lvlJc w:val="left"/>
      <w:rPr>
        <w:rFonts w:cs="Times New Roman" w:hint="default"/>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147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9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4E"/>
    <w:rsid w:val="00192FCF"/>
    <w:rsid w:val="00435A3F"/>
    <w:rsid w:val="007D53A1"/>
    <w:rsid w:val="00941D4E"/>
    <w:rsid w:val="009511F9"/>
    <w:rsid w:val="00AF71B0"/>
    <w:rsid w:val="00B1271B"/>
    <w:rsid w:val="00B172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3436"/>
  <w15:chartTrackingRefBased/>
  <w15:docId w15:val="{86358DF2-0C71-4571-B692-AB1E4AB6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9"/>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3A1"/>
    <w:pPr>
      <w:spacing w:after="0" w:line="280" w:lineRule="exact"/>
      <w:jc w:val="both"/>
    </w:pPr>
  </w:style>
  <w:style w:type="paragraph" w:styleId="Kop1">
    <w:name w:val="heading 1"/>
    <w:basedOn w:val="Standaard"/>
    <w:next w:val="Standaard"/>
    <w:link w:val="Kop1Char"/>
    <w:uiPriority w:val="9"/>
    <w:qFormat/>
    <w:rsid w:val="00AF71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F71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511F9"/>
    <w:pPr>
      <w:spacing w:after="0" w:line="240" w:lineRule="auto"/>
    </w:pPr>
  </w:style>
  <w:style w:type="character" w:customStyle="1" w:styleId="Kop1Char">
    <w:name w:val="Kop 1 Char"/>
    <w:basedOn w:val="Standaardalinea-lettertype"/>
    <w:link w:val="Kop1"/>
    <w:uiPriority w:val="9"/>
    <w:rsid w:val="00AF71B0"/>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AF71B0"/>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unhideWhenUsed/>
    <w:rsid w:val="0094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genummerdAD">
    <w:name w:val="Bijlage genummerd AD"/>
    <w:basedOn w:val="Standaard"/>
    <w:next w:val="Standaard"/>
    <w:qFormat/>
    <w:rsid w:val="00941D4E"/>
    <w:pPr>
      <w:numPr>
        <w:numId w:val="1"/>
      </w:numPr>
      <w:spacing w:after="500" w:line="276" w:lineRule="auto"/>
      <w:jc w:val="left"/>
    </w:pPr>
    <w:rPr>
      <w:rFonts w:ascii="Arial" w:eastAsia="Times New Roman" w:hAnsi="Arial" w:cs="Times New Roman"/>
      <w:b/>
      <w:sz w:val="2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8FFEC-C327-4C66-A5F1-94F7F518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772</Words>
  <Characters>4249</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Bonhof, Niek</dc:creator>
  <cp:keywords/>
  <dc:description/>
  <cp:lastModifiedBy>Bonhof, Niek</cp:lastModifiedBy>
  <cp:revision>1</cp:revision>
  <dcterms:created xsi:type="dcterms:W3CDTF">2023-05-16T08:40:00Z</dcterms:created>
  <dcterms:modified xsi:type="dcterms:W3CDTF">2023-05-16T08:45:00Z</dcterms:modified>
</cp:coreProperties>
</file>