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75ECE" w14:textId="64AF3418" w:rsidR="003E2124" w:rsidRPr="00F461E3" w:rsidRDefault="003E2124" w:rsidP="003E2124">
      <w:pPr>
        <w:jc w:val="both"/>
        <w:rPr>
          <w:sz w:val="20"/>
          <w:szCs w:val="20"/>
        </w:rPr>
      </w:pPr>
    </w:p>
    <w:p w14:paraId="6D924091" w14:textId="77777777" w:rsidR="00915037" w:rsidRPr="00915037" w:rsidRDefault="00915037" w:rsidP="00915037">
      <w:pPr>
        <w:tabs>
          <w:tab w:val="left" w:pos="284"/>
          <w:tab w:val="left" w:pos="1134"/>
        </w:tabs>
        <w:rPr>
          <w:b/>
          <w:bCs/>
          <w:sz w:val="20"/>
          <w:szCs w:val="20"/>
        </w:rPr>
      </w:pPr>
    </w:p>
    <w:p w14:paraId="1EC3E706" w14:textId="4DEBD1BC" w:rsidR="00915037" w:rsidRPr="00915037" w:rsidRDefault="00915037" w:rsidP="00915037">
      <w:pPr>
        <w:tabs>
          <w:tab w:val="left" w:pos="284"/>
          <w:tab w:val="left" w:pos="1134"/>
        </w:tabs>
        <w:rPr>
          <w:b/>
          <w:bCs/>
          <w:sz w:val="20"/>
          <w:szCs w:val="20"/>
        </w:rPr>
      </w:pPr>
      <w:r w:rsidRPr="00915037">
        <w:rPr>
          <w:b/>
          <w:bCs/>
          <w:sz w:val="20"/>
          <w:szCs w:val="20"/>
        </w:rPr>
        <w:t>Bijlage</w:t>
      </w:r>
      <w:r w:rsidR="00C10862">
        <w:rPr>
          <w:b/>
          <w:bCs/>
          <w:sz w:val="20"/>
          <w:szCs w:val="20"/>
        </w:rPr>
        <w:t xml:space="preserve"> 8 </w:t>
      </w:r>
      <w:bookmarkStart w:id="0" w:name="_GoBack"/>
      <w:bookmarkEnd w:id="0"/>
      <w:r w:rsidRPr="00915037">
        <w:rPr>
          <w:b/>
          <w:bCs/>
          <w:sz w:val="20"/>
          <w:szCs w:val="20"/>
        </w:rPr>
        <w:t xml:space="preserve"> Opgave korting/ opslag BAR organisatie</w:t>
      </w:r>
    </w:p>
    <w:p w14:paraId="5C829DD4" w14:textId="77777777" w:rsidR="00915037" w:rsidRPr="00915037" w:rsidRDefault="00915037" w:rsidP="00915037">
      <w:pPr>
        <w:tabs>
          <w:tab w:val="left" w:pos="284"/>
          <w:tab w:val="left" w:pos="1134"/>
        </w:tabs>
        <w:rPr>
          <w:sz w:val="20"/>
          <w:szCs w:val="20"/>
        </w:rPr>
      </w:pPr>
    </w:p>
    <w:p w14:paraId="19EDC741" w14:textId="77777777" w:rsidR="00915037" w:rsidRPr="00915037" w:rsidRDefault="00915037" w:rsidP="00915037">
      <w:pPr>
        <w:spacing w:after="160" w:line="259" w:lineRule="auto"/>
        <w:rPr>
          <w:sz w:val="20"/>
          <w:szCs w:val="20"/>
        </w:rPr>
      </w:pPr>
      <w:r w:rsidRPr="00915037">
        <w:rPr>
          <w:sz w:val="20"/>
          <w:szCs w:val="20"/>
        </w:rPr>
        <w:t xml:space="preserve">De inschrijver dient een korting of opslag op te geven voor de catalogusprijzen waarmee de opdrachtgever gedurende de contractperiode catalogusproducten aan kan schaffen die niet in de raamovereenkomst zijn benoemd. Deze kortingsregeling geldt voor de genoemde fabrikanten. </w:t>
      </w:r>
    </w:p>
    <w:p w14:paraId="5201B80B" w14:textId="77777777" w:rsidR="00915037" w:rsidRPr="00915037" w:rsidRDefault="00915037" w:rsidP="00915037">
      <w:pPr>
        <w:spacing w:after="160" w:line="259" w:lineRule="auto"/>
        <w:rPr>
          <w:sz w:val="20"/>
          <w:szCs w:val="20"/>
        </w:rPr>
      </w:pPr>
      <w:r w:rsidRPr="00915037">
        <w:rPr>
          <w:sz w:val="20"/>
          <w:szCs w:val="20"/>
        </w:rPr>
        <w:t>De Inschrijver dient voorafgaand aan een deelopdracht de productbeschrijving en verwijzing naar meest recente catalogussen van fabrikanten en de daarbij behorende bruto- of netto prijzenlijsten op te geven. Alle bedragen moeten exclusief BTW worden opgegeven. Wanneer een kortingspercentage wordt opgegeven moet dit met een minteken worden aangegeven, bij een opslagpercentage met een plusteken. Het opgegeven percentage korting of opslag moet op één decimaal zijn afgerond.</w:t>
      </w:r>
    </w:p>
    <w:p w14:paraId="26FE5703" w14:textId="77777777" w:rsidR="00915037" w:rsidRPr="00915037" w:rsidRDefault="00915037" w:rsidP="00915037">
      <w:pPr>
        <w:spacing w:after="160" w:line="259" w:lineRule="auto"/>
        <w:rPr>
          <w:sz w:val="20"/>
          <w:szCs w:val="20"/>
        </w:rPr>
      </w:pPr>
      <w:r w:rsidRPr="00915037">
        <w:rPr>
          <w:sz w:val="20"/>
          <w:szCs w:val="20"/>
        </w:rPr>
        <w:t>De kortingen/ opslagen zijn van bruto/netto prijslijsten inclusief verwijderingsbijdrage, handling, levering op plaats van bestemming en bezorgkosten. Dit betekent dat de opdrachtnemer geen andere kosten dan de meest recente catalogusprijzen in rekening mag brengen gedurende de looptijd van de overeenkomst. Het percentage staartkosten van de raamovereenkomst wordt niet over deze leveringen berekend.</w:t>
      </w:r>
    </w:p>
    <w:p w14:paraId="065CDFD7" w14:textId="77777777" w:rsidR="00915037" w:rsidRPr="00915037" w:rsidRDefault="00915037" w:rsidP="00915037">
      <w:pPr>
        <w:tabs>
          <w:tab w:val="left" w:pos="284"/>
        </w:tabs>
        <w:rPr>
          <w:sz w:val="20"/>
          <w:szCs w:val="20"/>
        </w:rPr>
      </w:pPr>
      <w:r w:rsidRPr="00915037">
        <w:rPr>
          <w:sz w:val="20"/>
          <w:szCs w:val="20"/>
        </w:rPr>
        <w:t>Na gunning vormen de opgegeven kortingen een onlosmakelijk onderdeel van het te sluiten contract.</w:t>
      </w:r>
    </w:p>
    <w:p w14:paraId="3403F51A" w14:textId="77777777" w:rsidR="00915037" w:rsidRPr="00915037" w:rsidRDefault="00915037" w:rsidP="00915037">
      <w:pPr>
        <w:tabs>
          <w:tab w:val="left" w:pos="284"/>
        </w:tabs>
        <w:rPr>
          <w:sz w:val="20"/>
          <w:szCs w:val="20"/>
        </w:rPr>
      </w:pPr>
    </w:p>
    <w:p w14:paraId="16DEB08D" w14:textId="77777777" w:rsidR="00915037" w:rsidRPr="00915037" w:rsidRDefault="00915037" w:rsidP="00915037">
      <w:pPr>
        <w:keepNext/>
        <w:keepLines/>
        <w:jc w:val="both"/>
        <w:outlineLvl w:val="3"/>
        <w:rPr>
          <w:b/>
          <w:bCs/>
          <w:sz w:val="20"/>
          <w:szCs w:val="20"/>
        </w:rPr>
      </w:pPr>
      <w:r w:rsidRPr="00915037">
        <w:rPr>
          <w:b/>
          <w:bCs/>
          <w:sz w:val="20"/>
          <w:szCs w:val="20"/>
        </w:rPr>
        <w:t xml:space="preserve">Kortings- /opslagpercentage op de actuele bruto/netto  prijslijsten masten </w:t>
      </w:r>
    </w:p>
    <w:p w14:paraId="7827DD59" w14:textId="50E123FD" w:rsidR="00915037" w:rsidRDefault="00915037" w:rsidP="00915037">
      <w:pPr>
        <w:spacing w:after="160"/>
        <w:jc w:val="both"/>
        <w:rPr>
          <w:sz w:val="20"/>
          <w:szCs w:val="20"/>
        </w:rPr>
      </w:pPr>
      <w:r w:rsidRPr="00915037">
        <w:rPr>
          <w:sz w:val="20"/>
          <w:szCs w:val="20"/>
        </w:rPr>
        <w:t xml:space="preserve">De Inschrijver vult in de onderstaande tabel per leverancier het </w:t>
      </w:r>
      <w:proofErr w:type="spellStart"/>
      <w:r w:rsidRPr="00915037">
        <w:rPr>
          <w:sz w:val="20"/>
          <w:szCs w:val="20"/>
        </w:rPr>
        <w:t>kortings</w:t>
      </w:r>
      <w:proofErr w:type="spellEnd"/>
      <w:r w:rsidRPr="00915037">
        <w:rPr>
          <w:sz w:val="20"/>
          <w:szCs w:val="20"/>
        </w:rPr>
        <w:t xml:space="preserve"> – of opslagpercentage in dat geldt voor de meest recente catalogussen met de daarbij bijbehorende prijslijsten. Deze kortingen gelden voor alle catalogusproducten (functionele masten) welke niet in het bestek zijn opgenomen. </w:t>
      </w:r>
    </w:p>
    <w:p w14:paraId="682E7F65" w14:textId="77777777" w:rsidR="00915037" w:rsidRPr="00915037" w:rsidRDefault="00915037" w:rsidP="00915037">
      <w:pPr>
        <w:spacing w:after="160"/>
        <w:jc w:val="both"/>
        <w:rPr>
          <w:sz w:val="20"/>
          <w:szCs w:val="20"/>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985"/>
        <w:gridCol w:w="1842"/>
      </w:tblGrid>
      <w:tr w:rsidR="00915037" w:rsidRPr="00915037" w14:paraId="0202E624" w14:textId="77777777" w:rsidTr="0043393D">
        <w:trPr>
          <w:trHeight w:val="615"/>
        </w:trPr>
        <w:tc>
          <w:tcPr>
            <w:tcW w:w="3539" w:type="dxa"/>
            <w:shd w:val="clear" w:color="auto" w:fill="auto"/>
            <w:noWrap/>
            <w:vAlign w:val="center"/>
            <w:hideMark/>
          </w:tcPr>
          <w:p w14:paraId="2C638E27" w14:textId="77777777" w:rsidR="00915037" w:rsidRPr="00915037" w:rsidRDefault="00915037" w:rsidP="00915037">
            <w:pPr>
              <w:jc w:val="both"/>
              <w:rPr>
                <w:rFonts w:eastAsia="Times New Roman"/>
                <w:b/>
                <w:bCs/>
                <w:color w:val="000000"/>
                <w:sz w:val="20"/>
                <w:szCs w:val="20"/>
                <w:lang w:eastAsia="nl-NL"/>
              </w:rPr>
            </w:pPr>
            <w:r w:rsidRPr="00915037">
              <w:rPr>
                <w:rFonts w:eastAsia="Times New Roman"/>
                <w:b/>
                <w:bCs/>
                <w:color w:val="000000"/>
                <w:sz w:val="20"/>
                <w:szCs w:val="20"/>
                <w:lang w:eastAsia="nl-NL"/>
              </w:rPr>
              <w:t>Leverancier</w:t>
            </w:r>
          </w:p>
        </w:tc>
        <w:tc>
          <w:tcPr>
            <w:tcW w:w="1985" w:type="dxa"/>
            <w:shd w:val="clear" w:color="auto" w:fill="auto"/>
            <w:noWrap/>
            <w:vAlign w:val="center"/>
            <w:hideMark/>
          </w:tcPr>
          <w:p w14:paraId="02513A86" w14:textId="77777777" w:rsidR="00915037" w:rsidRPr="00915037" w:rsidRDefault="00915037" w:rsidP="00915037">
            <w:pPr>
              <w:jc w:val="center"/>
              <w:rPr>
                <w:rFonts w:eastAsia="Times New Roman"/>
                <w:b/>
                <w:bCs/>
                <w:color w:val="000000"/>
                <w:sz w:val="20"/>
                <w:szCs w:val="20"/>
                <w:lang w:eastAsia="nl-NL"/>
              </w:rPr>
            </w:pPr>
            <w:r w:rsidRPr="00915037">
              <w:rPr>
                <w:rFonts w:eastAsia="Times New Roman"/>
                <w:b/>
                <w:bCs/>
                <w:color w:val="000000"/>
                <w:sz w:val="20"/>
                <w:szCs w:val="20"/>
                <w:lang w:eastAsia="nl-NL"/>
              </w:rPr>
              <w:t>Aantal stuks (indicatief)</w:t>
            </w:r>
          </w:p>
        </w:tc>
        <w:tc>
          <w:tcPr>
            <w:tcW w:w="1842" w:type="dxa"/>
            <w:shd w:val="clear" w:color="auto" w:fill="auto"/>
            <w:noWrap/>
            <w:vAlign w:val="center"/>
            <w:hideMark/>
          </w:tcPr>
          <w:p w14:paraId="013EDDAE" w14:textId="77777777" w:rsidR="00915037" w:rsidRPr="00915037" w:rsidRDefault="00915037" w:rsidP="00915037">
            <w:pPr>
              <w:jc w:val="both"/>
              <w:rPr>
                <w:rFonts w:eastAsia="Times New Roman"/>
                <w:b/>
                <w:bCs/>
                <w:color w:val="000000"/>
                <w:sz w:val="20"/>
                <w:szCs w:val="20"/>
                <w:lang w:eastAsia="nl-NL"/>
              </w:rPr>
            </w:pPr>
            <w:r w:rsidRPr="00915037">
              <w:rPr>
                <w:rFonts w:eastAsia="Times New Roman"/>
                <w:b/>
                <w:bCs/>
                <w:color w:val="000000"/>
                <w:sz w:val="20"/>
                <w:szCs w:val="20"/>
                <w:lang w:eastAsia="nl-NL"/>
              </w:rPr>
              <w:t>Korting/</w:t>
            </w:r>
          </w:p>
          <w:p w14:paraId="63CB1C20" w14:textId="77777777" w:rsidR="00915037" w:rsidRPr="00915037" w:rsidRDefault="00915037" w:rsidP="00915037">
            <w:pPr>
              <w:jc w:val="both"/>
              <w:rPr>
                <w:rFonts w:eastAsia="Times New Roman"/>
                <w:b/>
                <w:bCs/>
                <w:color w:val="000000"/>
                <w:sz w:val="20"/>
                <w:szCs w:val="20"/>
                <w:lang w:eastAsia="nl-NL"/>
              </w:rPr>
            </w:pPr>
            <w:r w:rsidRPr="00915037">
              <w:rPr>
                <w:rFonts w:eastAsia="Times New Roman"/>
                <w:b/>
                <w:bCs/>
                <w:color w:val="000000"/>
                <w:sz w:val="20"/>
                <w:szCs w:val="20"/>
                <w:lang w:eastAsia="nl-NL"/>
              </w:rPr>
              <w:t>Opslag (%)</w:t>
            </w:r>
          </w:p>
        </w:tc>
      </w:tr>
      <w:tr w:rsidR="00915037" w:rsidRPr="00915037" w14:paraId="407E9078" w14:textId="77777777" w:rsidTr="0043393D">
        <w:trPr>
          <w:trHeight w:val="315"/>
        </w:trPr>
        <w:tc>
          <w:tcPr>
            <w:tcW w:w="3539" w:type="dxa"/>
            <w:shd w:val="clear" w:color="auto" w:fill="auto"/>
            <w:noWrap/>
            <w:vAlign w:val="center"/>
          </w:tcPr>
          <w:p w14:paraId="4443B6BD" w14:textId="77777777" w:rsidR="00915037" w:rsidRPr="00915037" w:rsidRDefault="00915037" w:rsidP="00915037">
            <w:pPr>
              <w:jc w:val="both"/>
              <w:rPr>
                <w:rFonts w:eastAsia="Times New Roman"/>
                <w:color w:val="000000"/>
                <w:sz w:val="20"/>
                <w:szCs w:val="20"/>
                <w:lang w:eastAsia="nl-NL"/>
              </w:rPr>
            </w:pPr>
            <w:proofErr w:type="spellStart"/>
            <w:r w:rsidRPr="00915037">
              <w:rPr>
                <w:rFonts w:eastAsia="Times New Roman"/>
                <w:color w:val="000000"/>
                <w:sz w:val="20"/>
                <w:szCs w:val="20"/>
                <w:lang w:eastAsia="nl-NL"/>
              </w:rPr>
              <w:t>Valmont</w:t>
            </w:r>
            <w:proofErr w:type="spellEnd"/>
            <w:r w:rsidRPr="00915037">
              <w:rPr>
                <w:rFonts w:eastAsia="Times New Roman"/>
                <w:color w:val="000000"/>
                <w:sz w:val="20"/>
                <w:szCs w:val="20"/>
                <w:lang w:eastAsia="nl-NL"/>
              </w:rPr>
              <w:t xml:space="preserve"> (functioneel)</w:t>
            </w:r>
          </w:p>
        </w:tc>
        <w:tc>
          <w:tcPr>
            <w:tcW w:w="1985" w:type="dxa"/>
            <w:shd w:val="clear" w:color="auto" w:fill="auto"/>
            <w:noWrap/>
          </w:tcPr>
          <w:p w14:paraId="74C64B53" w14:textId="77777777" w:rsidR="00915037" w:rsidRPr="00915037" w:rsidRDefault="00915037" w:rsidP="00915037">
            <w:pPr>
              <w:jc w:val="both"/>
              <w:rPr>
                <w:rFonts w:eastAsia="Times New Roman"/>
                <w:color w:val="000000"/>
                <w:sz w:val="20"/>
                <w:szCs w:val="20"/>
                <w:lang w:eastAsia="nl-NL"/>
              </w:rPr>
            </w:pPr>
            <w:r w:rsidRPr="00915037">
              <w:rPr>
                <w:rFonts w:eastAsia="Times New Roman"/>
                <w:color w:val="000000"/>
                <w:sz w:val="20"/>
                <w:szCs w:val="20"/>
                <w:lang w:eastAsia="nl-NL"/>
              </w:rPr>
              <w:t>200</w:t>
            </w:r>
          </w:p>
        </w:tc>
        <w:tc>
          <w:tcPr>
            <w:tcW w:w="1842" w:type="dxa"/>
            <w:shd w:val="clear" w:color="auto" w:fill="auto"/>
            <w:noWrap/>
            <w:vAlign w:val="center"/>
          </w:tcPr>
          <w:p w14:paraId="764497C0" w14:textId="77777777" w:rsidR="00915037" w:rsidRPr="00915037" w:rsidRDefault="00915037" w:rsidP="00915037">
            <w:pPr>
              <w:jc w:val="both"/>
              <w:rPr>
                <w:rFonts w:eastAsia="Times New Roman"/>
                <w:color w:val="000000"/>
                <w:sz w:val="20"/>
                <w:szCs w:val="20"/>
                <w:lang w:eastAsia="nl-NL"/>
              </w:rPr>
            </w:pPr>
          </w:p>
        </w:tc>
      </w:tr>
      <w:tr w:rsidR="00915037" w:rsidRPr="00915037" w14:paraId="040B1CEE" w14:textId="77777777" w:rsidTr="0043393D">
        <w:trPr>
          <w:trHeight w:val="315"/>
        </w:trPr>
        <w:tc>
          <w:tcPr>
            <w:tcW w:w="3539" w:type="dxa"/>
            <w:shd w:val="clear" w:color="auto" w:fill="auto"/>
            <w:noWrap/>
            <w:vAlign w:val="center"/>
          </w:tcPr>
          <w:p w14:paraId="52791ED7" w14:textId="77777777" w:rsidR="00915037" w:rsidRPr="00915037" w:rsidRDefault="00915037" w:rsidP="00915037">
            <w:pPr>
              <w:jc w:val="both"/>
              <w:rPr>
                <w:rFonts w:eastAsia="Times New Roman"/>
                <w:color w:val="000000"/>
                <w:sz w:val="20"/>
                <w:szCs w:val="20"/>
                <w:lang w:eastAsia="nl-NL"/>
              </w:rPr>
            </w:pPr>
            <w:r w:rsidRPr="00915037">
              <w:rPr>
                <w:rFonts w:eastAsia="Times New Roman"/>
                <w:color w:val="000000"/>
                <w:sz w:val="20"/>
                <w:szCs w:val="20"/>
                <w:lang w:eastAsia="nl-NL"/>
              </w:rPr>
              <w:t>VDL (functioneel)</w:t>
            </w:r>
          </w:p>
        </w:tc>
        <w:tc>
          <w:tcPr>
            <w:tcW w:w="1985" w:type="dxa"/>
            <w:shd w:val="clear" w:color="auto" w:fill="auto"/>
            <w:noWrap/>
          </w:tcPr>
          <w:p w14:paraId="0BA0F061" w14:textId="77777777" w:rsidR="00915037" w:rsidRPr="00915037" w:rsidRDefault="00915037" w:rsidP="00915037">
            <w:pPr>
              <w:jc w:val="both"/>
              <w:rPr>
                <w:rFonts w:eastAsia="Times New Roman"/>
                <w:color w:val="000000"/>
                <w:sz w:val="20"/>
                <w:szCs w:val="20"/>
                <w:lang w:eastAsia="nl-NL"/>
              </w:rPr>
            </w:pPr>
            <w:r w:rsidRPr="00915037">
              <w:rPr>
                <w:rFonts w:eastAsia="Times New Roman"/>
                <w:color w:val="000000"/>
                <w:sz w:val="20"/>
                <w:szCs w:val="20"/>
                <w:lang w:eastAsia="nl-NL"/>
              </w:rPr>
              <w:t>200</w:t>
            </w:r>
          </w:p>
        </w:tc>
        <w:tc>
          <w:tcPr>
            <w:tcW w:w="1842" w:type="dxa"/>
            <w:shd w:val="clear" w:color="auto" w:fill="auto"/>
            <w:noWrap/>
            <w:vAlign w:val="center"/>
          </w:tcPr>
          <w:p w14:paraId="38327DA6" w14:textId="77777777" w:rsidR="00915037" w:rsidRPr="00915037" w:rsidRDefault="00915037" w:rsidP="00915037">
            <w:pPr>
              <w:jc w:val="both"/>
              <w:rPr>
                <w:rFonts w:eastAsia="Times New Roman"/>
                <w:color w:val="000000"/>
                <w:sz w:val="20"/>
                <w:szCs w:val="20"/>
                <w:lang w:eastAsia="nl-NL"/>
              </w:rPr>
            </w:pPr>
          </w:p>
        </w:tc>
      </w:tr>
      <w:tr w:rsidR="00915037" w:rsidRPr="00915037" w14:paraId="318A0F5B" w14:textId="77777777" w:rsidTr="0043393D">
        <w:trPr>
          <w:trHeight w:val="315"/>
        </w:trPr>
        <w:tc>
          <w:tcPr>
            <w:tcW w:w="3539" w:type="dxa"/>
            <w:shd w:val="clear" w:color="auto" w:fill="auto"/>
            <w:noWrap/>
            <w:vAlign w:val="center"/>
            <w:hideMark/>
          </w:tcPr>
          <w:p w14:paraId="39617ED9" w14:textId="77777777" w:rsidR="00915037" w:rsidRPr="00915037" w:rsidRDefault="00915037" w:rsidP="00915037">
            <w:pPr>
              <w:jc w:val="both"/>
              <w:rPr>
                <w:rFonts w:eastAsia="Times New Roman"/>
                <w:color w:val="000000"/>
                <w:sz w:val="20"/>
                <w:szCs w:val="20"/>
                <w:lang w:eastAsia="nl-NL"/>
              </w:rPr>
            </w:pPr>
            <w:r w:rsidRPr="00915037">
              <w:rPr>
                <w:rFonts w:eastAsia="Times New Roman"/>
                <w:color w:val="000000"/>
                <w:sz w:val="20"/>
                <w:szCs w:val="20"/>
                <w:lang w:eastAsia="nl-NL"/>
              </w:rPr>
              <w:t>Hydro (functioneel)</w:t>
            </w:r>
          </w:p>
        </w:tc>
        <w:tc>
          <w:tcPr>
            <w:tcW w:w="1985" w:type="dxa"/>
            <w:shd w:val="clear" w:color="auto" w:fill="auto"/>
            <w:noWrap/>
          </w:tcPr>
          <w:p w14:paraId="6C4C20FF" w14:textId="77777777" w:rsidR="00915037" w:rsidRPr="00915037" w:rsidRDefault="00915037" w:rsidP="00915037">
            <w:pPr>
              <w:jc w:val="both"/>
              <w:rPr>
                <w:rFonts w:eastAsia="Times New Roman"/>
                <w:color w:val="000000"/>
                <w:sz w:val="20"/>
                <w:szCs w:val="20"/>
                <w:lang w:eastAsia="nl-NL"/>
              </w:rPr>
            </w:pPr>
            <w:r w:rsidRPr="00915037">
              <w:rPr>
                <w:rFonts w:eastAsia="Times New Roman"/>
                <w:color w:val="000000"/>
                <w:sz w:val="20"/>
                <w:szCs w:val="20"/>
                <w:lang w:eastAsia="nl-NL"/>
              </w:rPr>
              <w:t>200</w:t>
            </w:r>
          </w:p>
        </w:tc>
        <w:tc>
          <w:tcPr>
            <w:tcW w:w="1842" w:type="dxa"/>
            <w:shd w:val="clear" w:color="auto" w:fill="auto"/>
            <w:noWrap/>
            <w:vAlign w:val="center"/>
          </w:tcPr>
          <w:p w14:paraId="3F9AD27E" w14:textId="77777777" w:rsidR="00915037" w:rsidRPr="00915037" w:rsidRDefault="00915037" w:rsidP="00915037">
            <w:pPr>
              <w:jc w:val="both"/>
              <w:rPr>
                <w:rFonts w:eastAsia="Times New Roman"/>
                <w:color w:val="000000"/>
                <w:sz w:val="20"/>
                <w:szCs w:val="20"/>
                <w:lang w:eastAsia="nl-NL"/>
              </w:rPr>
            </w:pPr>
          </w:p>
        </w:tc>
      </w:tr>
      <w:tr w:rsidR="00915037" w:rsidRPr="00915037" w14:paraId="32126CD8" w14:textId="77777777" w:rsidTr="0043393D">
        <w:trPr>
          <w:trHeight w:val="260"/>
        </w:trPr>
        <w:tc>
          <w:tcPr>
            <w:tcW w:w="3539" w:type="dxa"/>
            <w:shd w:val="clear" w:color="auto" w:fill="auto"/>
            <w:noWrap/>
            <w:vAlign w:val="center"/>
          </w:tcPr>
          <w:p w14:paraId="187BD8E6" w14:textId="77777777" w:rsidR="00915037" w:rsidRPr="00915037" w:rsidRDefault="00915037" w:rsidP="00915037">
            <w:pPr>
              <w:jc w:val="both"/>
              <w:rPr>
                <w:rFonts w:eastAsia="Times New Roman"/>
                <w:color w:val="000000"/>
                <w:sz w:val="20"/>
                <w:szCs w:val="20"/>
                <w:lang w:eastAsia="nl-NL"/>
              </w:rPr>
            </w:pPr>
            <w:proofErr w:type="spellStart"/>
            <w:r w:rsidRPr="00915037">
              <w:rPr>
                <w:rFonts w:eastAsia="Times New Roman"/>
                <w:color w:val="000000"/>
                <w:sz w:val="20"/>
                <w:szCs w:val="20"/>
                <w:lang w:eastAsia="nl-NL"/>
              </w:rPr>
              <w:t>Nedal</w:t>
            </w:r>
            <w:proofErr w:type="spellEnd"/>
            <w:r w:rsidRPr="00915037">
              <w:rPr>
                <w:rFonts w:eastAsia="Times New Roman"/>
                <w:color w:val="000000"/>
                <w:sz w:val="20"/>
                <w:szCs w:val="20"/>
                <w:lang w:eastAsia="nl-NL"/>
              </w:rPr>
              <w:t xml:space="preserve"> (functioneel)</w:t>
            </w:r>
          </w:p>
        </w:tc>
        <w:tc>
          <w:tcPr>
            <w:tcW w:w="1985" w:type="dxa"/>
            <w:shd w:val="clear" w:color="auto" w:fill="auto"/>
            <w:noWrap/>
          </w:tcPr>
          <w:p w14:paraId="623CA3EE" w14:textId="77777777" w:rsidR="00915037" w:rsidRPr="00915037" w:rsidRDefault="00915037" w:rsidP="00915037">
            <w:pPr>
              <w:jc w:val="both"/>
              <w:rPr>
                <w:rFonts w:eastAsia="Times New Roman"/>
                <w:color w:val="000000"/>
                <w:sz w:val="20"/>
                <w:szCs w:val="20"/>
                <w:lang w:eastAsia="nl-NL"/>
              </w:rPr>
            </w:pPr>
            <w:r w:rsidRPr="00915037">
              <w:rPr>
                <w:rFonts w:eastAsia="Times New Roman"/>
                <w:color w:val="000000"/>
                <w:sz w:val="20"/>
                <w:szCs w:val="20"/>
                <w:lang w:eastAsia="nl-NL"/>
              </w:rPr>
              <w:t>200</w:t>
            </w:r>
          </w:p>
        </w:tc>
        <w:tc>
          <w:tcPr>
            <w:tcW w:w="1842" w:type="dxa"/>
            <w:shd w:val="clear" w:color="auto" w:fill="auto"/>
            <w:noWrap/>
            <w:vAlign w:val="center"/>
          </w:tcPr>
          <w:p w14:paraId="4B69BA07" w14:textId="77777777" w:rsidR="00915037" w:rsidRPr="00915037" w:rsidRDefault="00915037" w:rsidP="00915037">
            <w:pPr>
              <w:jc w:val="both"/>
              <w:rPr>
                <w:rFonts w:eastAsia="Times New Roman"/>
                <w:color w:val="000000"/>
                <w:sz w:val="20"/>
                <w:szCs w:val="20"/>
                <w:lang w:eastAsia="nl-NL"/>
              </w:rPr>
            </w:pPr>
          </w:p>
        </w:tc>
      </w:tr>
    </w:tbl>
    <w:p w14:paraId="07E66D31" w14:textId="77777777" w:rsidR="00915037" w:rsidRPr="00915037" w:rsidRDefault="00915037" w:rsidP="00915037">
      <w:pPr>
        <w:tabs>
          <w:tab w:val="left" w:pos="284"/>
          <w:tab w:val="left" w:pos="1134"/>
        </w:tabs>
        <w:rPr>
          <w:b/>
          <w:color w:val="BB141A"/>
          <w:sz w:val="20"/>
          <w:szCs w:val="20"/>
        </w:rPr>
      </w:pPr>
    </w:p>
    <w:p w14:paraId="2DF7B8A9" w14:textId="77777777" w:rsidR="00915037" w:rsidRPr="00915037" w:rsidRDefault="00915037" w:rsidP="00915037">
      <w:pPr>
        <w:tabs>
          <w:tab w:val="left" w:pos="284"/>
          <w:tab w:val="left" w:pos="1134"/>
        </w:tabs>
        <w:rPr>
          <w:b/>
          <w:color w:val="BB141A"/>
          <w:sz w:val="20"/>
          <w:szCs w:val="20"/>
        </w:rPr>
      </w:pPr>
    </w:p>
    <w:p w14:paraId="1373E64B" w14:textId="77777777" w:rsidR="00915037" w:rsidRPr="00915037" w:rsidRDefault="00915037" w:rsidP="00915037">
      <w:pPr>
        <w:keepNext/>
        <w:keepLines/>
        <w:jc w:val="both"/>
        <w:outlineLvl w:val="3"/>
        <w:rPr>
          <w:rFonts w:eastAsia="Times New Roman"/>
          <w:b/>
          <w:bCs/>
          <w:iCs/>
          <w:sz w:val="20"/>
          <w:szCs w:val="20"/>
        </w:rPr>
      </w:pPr>
      <w:bookmarkStart w:id="1" w:name="_Hlk48897281"/>
      <w:r w:rsidRPr="00915037">
        <w:rPr>
          <w:rFonts w:eastAsia="Times New Roman"/>
          <w:b/>
          <w:iCs/>
          <w:sz w:val="20"/>
          <w:szCs w:val="20"/>
        </w:rPr>
        <w:t xml:space="preserve">Kortings- /opslagpercentage op de actuele bruto/netto prijslijsten armaturen </w:t>
      </w:r>
    </w:p>
    <w:p w14:paraId="605675E1" w14:textId="77777777" w:rsidR="00915037" w:rsidRPr="00915037" w:rsidRDefault="00915037" w:rsidP="00915037">
      <w:pPr>
        <w:spacing w:after="160"/>
        <w:jc w:val="both"/>
        <w:rPr>
          <w:sz w:val="20"/>
          <w:szCs w:val="20"/>
        </w:rPr>
      </w:pPr>
      <w:r w:rsidRPr="00915037">
        <w:rPr>
          <w:sz w:val="20"/>
          <w:szCs w:val="20"/>
        </w:rPr>
        <w:t xml:space="preserve">De Inschrijver vult in de onderstaande tabel per leverancier het </w:t>
      </w:r>
      <w:proofErr w:type="spellStart"/>
      <w:r w:rsidRPr="00915037">
        <w:rPr>
          <w:sz w:val="20"/>
          <w:szCs w:val="20"/>
        </w:rPr>
        <w:t>kortings</w:t>
      </w:r>
      <w:proofErr w:type="spellEnd"/>
      <w:r w:rsidRPr="00915037">
        <w:rPr>
          <w:sz w:val="20"/>
          <w:szCs w:val="20"/>
        </w:rPr>
        <w:t xml:space="preserve"> – of opslagpercentage in dat geldt voor de meest recente catalogussen met de daarbij bijbehorende prijslijsten. Deze kortingen gelden voor alle catalogusproducten (functionele armaturen) welke niet in het bestek zijn opgenomen. Levering zonder aansluitsnoer.</w:t>
      </w:r>
    </w:p>
    <w:p w14:paraId="6FF52023" w14:textId="21B70203" w:rsidR="00915037" w:rsidRDefault="00915037" w:rsidP="00915037">
      <w:pPr>
        <w:spacing w:after="160"/>
        <w:jc w:val="both"/>
        <w:rPr>
          <w:sz w:val="20"/>
          <w:szCs w:val="20"/>
        </w:rPr>
      </w:pPr>
    </w:p>
    <w:p w14:paraId="04D4FA92" w14:textId="4746DF19" w:rsidR="00915037" w:rsidRDefault="00915037" w:rsidP="00915037">
      <w:pPr>
        <w:spacing w:after="160"/>
        <w:jc w:val="both"/>
        <w:rPr>
          <w:sz w:val="20"/>
          <w:szCs w:val="20"/>
        </w:rPr>
      </w:pPr>
    </w:p>
    <w:p w14:paraId="04E9ADC2" w14:textId="6179B95C" w:rsidR="00915037" w:rsidRDefault="00915037" w:rsidP="00915037">
      <w:pPr>
        <w:spacing w:after="160"/>
        <w:jc w:val="both"/>
        <w:rPr>
          <w:sz w:val="20"/>
          <w:szCs w:val="20"/>
        </w:rPr>
      </w:pPr>
    </w:p>
    <w:p w14:paraId="15C8F9C2" w14:textId="746CA884" w:rsidR="00915037" w:rsidRDefault="00915037" w:rsidP="00915037">
      <w:pPr>
        <w:spacing w:after="160"/>
        <w:jc w:val="both"/>
        <w:rPr>
          <w:sz w:val="20"/>
          <w:szCs w:val="20"/>
        </w:rPr>
      </w:pPr>
    </w:p>
    <w:p w14:paraId="0789CD16" w14:textId="51EB81AE" w:rsidR="00915037" w:rsidRDefault="00915037" w:rsidP="00915037">
      <w:pPr>
        <w:spacing w:after="160"/>
        <w:jc w:val="both"/>
        <w:rPr>
          <w:sz w:val="20"/>
          <w:szCs w:val="20"/>
        </w:rPr>
      </w:pPr>
    </w:p>
    <w:p w14:paraId="52DAC4A8" w14:textId="67B4EF67" w:rsidR="00915037" w:rsidRDefault="00915037" w:rsidP="00915037">
      <w:pPr>
        <w:spacing w:after="160"/>
        <w:jc w:val="both"/>
        <w:rPr>
          <w:sz w:val="20"/>
          <w:szCs w:val="20"/>
        </w:rPr>
      </w:pPr>
    </w:p>
    <w:p w14:paraId="235127B9" w14:textId="77777777" w:rsidR="00915037" w:rsidRPr="00915037" w:rsidRDefault="00915037" w:rsidP="00915037">
      <w:pPr>
        <w:spacing w:after="160"/>
        <w:jc w:val="both"/>
        <w:rPr>
          <w:sz w:val="20"/>
          <w:szCs w:val="20"/>
        </w:rPr>
      </w:pP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1985"/>
        <w:gridCol w:w="1842"/>
      </w:tblGrid>
      <w:tr w:rsidR="00915037" w:rsidRPr="00915037" w14:paraId="65147649" w14:textId="77777777" w:rsidTr="0043393D">
        <w:trPr>
          <w:trHeight w:val="615"/>
        </w:trPr>
        <w:tc>
          <w:tcPr>
            <w:tcW w:w="3544" w:type="dxa"/>
            <w:shd w:val="clear" w:color="auto" w:fill="auto"/>
            <w:noWrap/>
            <w:vAlign w:val="center"/>
            <w:hideMark/>
          </w:tcPr>
          <w:p w14:paraId="29DED208" w14:textId="77777777" w:rsidR="00915037" w:rsidRPr="00915037" w:rsidRDefault="00915037" w:rsidP="00915037">
            <w:pPr>
              <w:jc w:val="both"/>
              <w:rPr>
                <w:rFonts w:eastAsia="Times New Roman"/>
                <w:b/>
                <w:bCs/>
                <w:color w:val="000000"/>
                <w:sz w:val="20"/>
                <w:szCs w:val="20"/>
                <w:lang w:eastAsia="nl-NL"/>
              </w:rPr>
            </w:pPr>
            <w:bookmarkStart w:id="2" w:name="_Hlk35248679"/>
            <w:r w:rsidRPr="00915037">
              <w:rPr>
                <w:rFonts w:eastAsia="Times New Roman"/>
                <w:b/>
                <w:bCs/>
                <w:color w:val="000000"/>
                <w:sz w:val="20"/>
                <w:szCs w:val="20"/>
                <w:lang w:eastAsia="nl-NL"/>
              </w:rPr>
              <w:t>Leverancier</w:t>
            </w:r>
          </w:p>
        </w:tc>
        <w:tc>
          <w:tcPr>
            <w:tcW w:w="1985" w:type="dxa"/>
            <w:shd w:val="clear" w:color="auto" w:fill="auto"/>
            <w:noWrap/>
            <w:vAlign w:val="center"/>
            <w:hideMark/>
          </w:tcPr>
          <w:p w14:paraId="642C455C" w14:textId="77777777" w:rsidR="00915037" w:rsidRPr="00915037" w:rsidRDefault="00915037" w:rsidP="00915037">
            <w:pPr>
              <w:jc w:val="center"/>
              <w:rPr>
                <w:rFonts w:eastAsia="Times New Roman"/>
                <w:b/>
                <w:bCs/>
                <w:color w:val="000000"/>
                <w:sz w:val="20"/>
                <w:szCs w:val="20"/>
                <w:lang w:eastAsia="nl-NL"/>
              </w:rPr>
            </w:pPr>
            <w:r w:rsidRPr="00915037">
              <w:rPr>
                <w:rFonts w:eastAsia="Times New Roman"/>
                <w:b/>
                <w:bCs/>
                <w:color w:val="000000"/>
                <w:sz w:val="20"/>
                <w:szCs w:val="20"/>
                <w:lang w:eastAsia="nl-NL"/>
              </w:rPr>
              <w:t>Aantal stuks (indicatief)</w:t>
            </w:r>
          </w:p>
        </w:tc>
        <w:tc>
          <w:tcPr>
            <w:tcW w:w="1842" w:type="dxa"/>
            <w:shd w:val="clear" w:color="auto" w:fill="auto"/>
            <w:noWrap/>
            <w:vAlign w:val="center"/>
            <w:hideMark/>
          </w:tcPr>
          <w:p w14:paraId="116DCD11" w14:textId="77777777" w:rsidR="00915037" w:rsidRPr="00915037" w:rsidRDefault="00915037" w:rsidP="00915037">
            <w:pPr>
              <w:jc w:val="both"/>
              <w:rPr>
                <w:rFonts w:eastAsia="Times New Roman"/>
                <w:b/>
                <w:bCs/>
                <w:color w:val="000000"/>
                <w:sz w:val="20"/>
                <w:szCs w:val="20"/>
                <w:lang w:eastAsia="nl-NL"/>
              </w:rPr>
            </w:pPr>
            <w:r w:rsidRPr="00915037">
              <w:rPr>
                <w:rFonts w:eastAsia="Times New Roman"/>
                <w:b/>
                <w:bCs/>
                <w:color w:val="000000"/>
                <w:sz w:val="20"/>
                <w:szCs w:val="20"/>
                <w:lang w:eastAsia="nl-NL"/>
              </w:rPr>
              <w:t>Korting/</w:t>
            </w:r>
          </w:p>
          <w:p w14:paraId="3C60B535" w14:textId="77777777" w:rsidR="00915037" w:rsidRPr="00915037" w:rsidRDefault="00915037" w:rsidP="00915037">
            <w:pPr>
              <w:jc w:val="both"/>
              <w:rPr>
                <w:rFonts w:eastAsia="Times New Roman"/>
                <w:b/>
                <w:bCs/>
                <w:color w:val="000000"/>
                <w:sz w:val="20"/>
                <w:szCs w:val="20"/>
                <w:lang w:eastAsia="nl-NL"/>
              </w:rPr>
            </w:pPr>
            <w:r w:rsidRPr="00915037">
              <w:rPr>
                <w:rFonts w:eastAsia="Times New Roman"/>
                <w:b/>
                <w:bCs/>
                <w:color w:val="000000"/>
                <w:sz w:val="20"/>
                <w:szCs w:val="20"/>
                <w:lang w:eastAsia="nl-NL"/>
              </w:rPr>
              <w:t>Opslag (%)</w:t>
            </w:r>
          </w:p>
        </w:tc>
      </w:tr>
      <w:tr w:rsidR="00915037" w:rsidRPr="00915037" w14:paraId="30A385EB" w14:textId="77777777" w:rsidTr="0043393D">
        <w:trPr>
          <w:trHeight w:val="315"/>
        </w:trPr>
        <w:tc>
          <w:tcPr>
            <w:tcW w:w="3544" w:type="dxa"/>
            <w:shd w:val="clear" w:color="auto" w:fill="auto"/>
            <w:noWrap/>
            <w:vAlign w:val="center"/>
          </w:tcPr>
          <w:p w14:paraId="5D0ACC06" w14:textId="77777777" w:rsidR="00915037" w:rsidRPr="00915037" w:rsidRDefault="00915037" w:rsidP="00915037">
            <w:pPr>
              <w:jc w:val="both"/>
              <w:rPr>
                <w:rFonts w:eastAsia="Times New Roman"/>
                <w:color w:val="000000"/>
                <w:sz w:val="20"/>
                <w:szCs w:val="20"/>
                <w:lang w:eastAsia="nl-NL"/>
              </w:rPr>
            </w:pPr>
            <w:proofErr w:type="spellStart"/>
            <w:r w:rsidRPr="00915037">
              <w:rPr>
                <w:rFonts w:eastAsia="Times New Roman"/>
                <w:color w:val="000000"/>
                <w:sz w:val="20"/>
                <w:szCs w:val="20"/>
                <w:lang w:eastAsia="nl-NL"/>
              </w:rPr>
              <w:t>Schreder</w:t>
            </w:r>
            <w:proofErr w:type="spellEnd"/>
            <w:r w:rsidRPr="00915037">
              <w:rPr>
                <w:rFonts w:eastAsia="Times New Roman"/>
                <w:color w:val="000000"/>
                <w:sz w:val="20"/>
                <w:szCs w:val="20"/>
                <w:lang w:eastAsia="nl-NL"/>
              </w:rPr>
              <w:t xml:space="preserve"> (functioneel)</w:t>
            </w:r>
          </w:p>
        </w:tc>
        <w:tc>
          <w:tcPr>
            <w:tcW w:w="1985" w:type="dxa"/>
            <w:shd w:val="clear" w:color="auto" w:fill="auto"/>
            <w:noWrap/>
          </w:tcPr>
          <w:p w14:paraId="0241E58A" w14:textId="77777777" w:rsidR="00915037" w:rsidRPr="00915037" w:rsidRDefault="00915037" w:rsidP="00915037">
            <w:pPr>
              <w:jc w:val="both"/>
              <w:rPr>
                <w:rFonts w:eastAsia="Times New Roman"/>
                <w:color w:val="000000"/>
                <w:sz w:val="20"/>
                <w:szCs w:val="20"/>
                <w:lang w:eastAsia="nl-NL"/>
              </w:rPr>
            </w:pPr>
            <w:r w:rsidRPr="00915037">
              <w:rPr>
                <w:rFonts w:eastAsia="Times New Roman"/>
                <w:color w:val="000000"/>
                <w:sz w:val="20"/>
                <w:szCs w:val="20"/>
                <w:lang w:eastAsia="nl-NL"/>
              </w:rPr>
              <w:t>8.000</w:t>
            </w:r>
          </w:p>
        </w:tc>
        <w:tc>
          <w:tcPr>
            <w:tcW w:w="1842" w:type="dxa"/>
            <w:shd w:val="clear" w:color="auto" w:fill="auto"/>
            <w:noWrap/>
            <w:vAlign w:val="center"/>
          </w:tcPr>
          <w:p w14:paraId="350F8D11" w14:textId="77777777" w:rsidR="00915037" w:rsidRPr="00915037" w:rsidRDefault="00915037" w:rsidP="00915037">
            <w:pPr>
              <w:jc w:val="both"/>
              <w:rPr>
                <w:rFonts w:eastAsia="Times New Roman"/>
                <w:color w:val="000000"/>
                <w:sz w:val="20"/>
                <w:szCs w:val="20"/>
                <w:lang w:eastAsia="nl-NL"/>
              </w:rPr>
            </w:pPr>
          </w:p>
        </w:tc>
      </w:tr>
      <w:tr w:rsidR="00915037" w:rsidRPr="00915037" w14:paraId="356E169A" w14:textId="77777777" w:rsidTr="0043393D">
        <w:trPr>
          <w:trHeight w:val="315"/>
        </w:trPr>
        <w:tc>
          <w:tcPr>
            <w:tcW w:w="3544" w:type="dxa"/>
            <w:shd w:val="clear" w:color="auto" w:fill="auto"/>
            <w:noWrap/>
            <w:vAlign w:val="center"/>
          </w:tcPr>
          <w:p w14:paraId="0C555075" w14:textId="77777777" w:rsidR="00915037" w:rsidRPr="00915037" w:rsidRDefault="00915037" w:rsidP="00915037">
            <w:pPr>
              <w:jc w:val="both"/>
              <w:rPr>
                <w:rFonts w:eastAsia="Times New Roman"/>
                <w:color w:val="000000"/>
                <w:sz w:val="20"/>
                <w:szCs w:val="20"/>
                <w:lang w:eastAsia="nl-NL"/>
              </w:rPr>
            </w:pPr>
            <w:proofErr w:type="spellStart"/>
            <w:r w:rsidRPr="00915037">
              <w:rPr>
                <w:rFonts w:eastAsia="Times New Roman"/>
                <w:color w:val="000000"/>
                <w:sz w:val="20"/>
                <w:szCs w:val="20"/>
                <w:lang w:eastAsia="nl-NL"/>
              </w:rPr>
              <w:t>Lightronics</w:t>
            </w:r>
            <w:proofErr w:type="spellEnd"/>
            <w:r w:rsidRPr="00915037">
              <w:rPr>
                <w:rFonts w:eastAsia="Times New Roman"/>
                <w:color w:val="000000"/>
                <w:sz w:val="20"/>
                <w:szCs w:val="20"/>
                <w:lang w:eastAsia="nl-NL"/>
              </w:rPr>
              <w:t xml:space="preserve"> (functioneel)</w:t>
            </w:r>
          </w:p>
        </w:tc>
        <w:tc>
          <w:tcPr>
            <w:tcW w:w="1985" w:type="dxa"/>
            <w:shd w:val="clear" w:color="auto" w:fill="auto"/>
            <w:noWrap/>
          </w:tcPr>
          <w:p w14:paraId="3FFC41F1" w14:textId="77777777" w:rsidR="00915037" w:rsidRPr="00915037" w:rsidRDefault="00915037" w:rsidP="00915037">
            <w:pPr>
              <w:jc w:val="both"/>
              <w:rPr>
                <w:rFonts w:eastAsia="Times New Roman"/>
                <w:color w:val="000000"/>
                <w:sz w:val="20"/>
                <w:szCs w:val="20"/>
                <w:lang w:eastAsia="nl-NL"/>
              </w:rPr>
            </w:pPr>
            <w:r w:rsidRPr="00915037">
              <w:rPr>
                <w:rFonts w:eastAsia="Times New Roman"/>
                <w:color w:val="000000"/>
                <w:sz w:val="20"/>
                <w:szCs w:val="20"/>
                <w:lang w:eastAsia="nl-NL"/>
              </w:rPr>
              <w:t>8.000</w:t>
            </w:r>
          </w:p>
        </w:tc>
        <w:tc>
          <w:tcPr>
            <w:tcW w:w="1842" w:type="dxa"/>
            <w:shd w:val="clear" w:color="auto" w:fill="auto"/>
            <w:noWrap/>
            <w:vAlign w:val="center"/>
          </w:tcPr>
          <w:p w14:paraId="4B7A7F2F" w14:textId="77777777" w:rsidR="00915037" w:rsidRPr="00915037" w:rsidRDefault="00915037" w:rsidP="00915037">
            <w:pPr>
              <w:jc w:val="both"/>
              <w:rPr>
                <w:rFonts w:eastAsia="Times New Roman"/>
                <w:color w:val="000000"/>
                <w:sz w:val="20"/>
                <w:szCs w:val="20"/>
                <w:lang w:eastAsia="nl-NL"/>
              </w:rPr>
            </w:pPr>
          </w:p>
        </w:tc>
      </w:tr>
      <w:tr w:rsidR="00915037" w:rsidRPr="00915037" w14:paraId="79BCCF0F" w14:textId="77777777" w:rsidTr="0043393D">
        <w:trPr>
          <w:trHeight w:val="315"/>
        </w:trPr>
        <w:tc>
          <w:tcPr>
            <w:tcW w:w="3544" w:type="dxa"/>
            <w:shd w:val="clear" w:color="auto" w:fill="auto"/>
            <w:noWrap/>
            <w:vAlign w:val="center"/>
          </w:tcPr>
          <w:p w14:paraId="5B65D455" w14:textId="77777777" w:rsidR="00915037" w:rsidRPr="00915037" w:rsidRDefault="00915037" w:rsidP="00915037">
            <w:pPr>
              <w:jc w:val="both"/>
              <w:rPr>
                <w:rFonts w:eastAsia="Times New Roman"/>
                <w:color w:val="000000"/>
                <w:sz w:val="20"/>
                <w:szCs w:val="20"/>
                <w:lang w:eastAsia="nl-NL"/>
              </w:rPr>
            </w:pPr>
            <w:r w:rsidRPr="00915037">
              <w:rPr>
                <w:rFonts w:eastAsia="Times New Roman"/>
                <w:color w:val="000000"/>
                <w:sz w:val="20"/>
                <w:szCs w:val="20"/>
                <w:lang w:eastAsia="nl-NL"/>
              </w:rPr>
              <w:t xml:space="preserve">Orange </w:t>
            </w:r>
            <w:proofErr w:type="spellStart"/>
            <w:r w:rsidRPr="00915037">
              <w:rPr>
                <w:rFonts w:eastAsia="Times New Roman"/>
                <w:color w:val="000000"/>
                <w:sz w:val="20"/>
                <w:szCs w:val="20"/>
                <w:lang w:eastAsia="nl-NL"/>
              </w:rPr>
              <w:t>Lighting</w:t>
            </w:r>
            <w:proofErr w:type="spellEnd"/>
            <w:r w:rsidRPr="00915037">
              <w:rPr>
                <w:rFonts w:eastAsia="Times New Roman"/>
                <w:color w:val="000000"/>
                <w:sz w:val="20"/>
                <w:szCs w:val="20"/>
                <w:lang w:eastAsia="nl-NL"/>
              </w:rPr>
              <w:t xml:space="preserve"> (functioneel)</w:t>
            </w:r>
          </w:p>
        </w:tc>
        <w:tc>
          <w:tcPr>
            <w:tcW w:w="1985" w:type="dxa"/>
            <w:shd w:val="clear" w:color="auto" w:fill="auto"/>
            <w:noWrap/>
          </w:tcPr>
          <w:p w14:paraId="6C8F982B" w14:textId="77777777" w:rsidR="00915037" w:rsidRPr="00915037" w:rsidRDefault="00915037" w:rsidP="00915037">
            <w:pPr>
              <w:jc w:val="both"/>
              <w:rPr>
                <w:rFonts w:eastAsia="Times New Roman"/>
                <w:color w:val="000000"/>
                <w:sz w:val="20"/>
                <w:szCs w:val="20"/>
                <w:lang w:eastAsia="nl-NL"/>
              </w:rPr>
            </w:pPr>
            <w:r w:rsidRPr="00915037">
              <w:rPr>
                <w:rFonts w:eastAsia="Times New Roman"/>
                <w:color w:val="000000"/>
                <w:sz w:val="20"/>
                <w:szCs w:val="20"/>
                <w:lang w:eastAsia="nl-NL"/>
              </w:rPr>
              <w:t>8.000</w:t>
            </w:r>
          </w:p>
        </w:tc>
        <w:tc>
          <w:tcPr>
            <w:tcW w:w="1842" w:type="dxa"/>
            <w:shd w:val="clear" w:color="auto" w:fill="auto"/>
            <w:noWrap/>
            <w:vAlign w:val="center"/>
          </w:tcPr>
          <w:p w14:paraId="5BCD9AE9" w14:textId="77777777" w:rsidR="00915037" w:rsidRPr="00915037" w:rsidRDefault="00915037" w:rsidP="00915037">
            <w:pPr>
              <w:jc w:val="both"/>
              <w:rPr>
                <w:rFonts w:eastAsia="Times New Roman"/>
                <w:color w:val="000000"/>
                <w:sz w:val="20"/>
                <w:szCs w:val="20"/>
                <w:lang w:eastAsia="nl-NL"/>
              </w:rPr>
            </w:pPr>
          </w:p>
        </w:tc>
      </w:tr>
      <w:tr w:rsidR="00915037" w:rsidRPr="00915037" w14:paraId="78F1F2BE" w14:textId="77777777" w:rsidTr="0043393D">
        <w:trPr>
          <w:trHeight w:val="315"/>
        </w:trPr>
        <w:tc>
          <w:tcPr>
            <w:tcW w:w="3544" w:type="dxa"/>
            <w:shd w:val="clear" w:color="auto" w:fill="auto"/>
            <w:noWrap/>
            <w:vAlign w:val="center"/>
          </w:tcPr>
          <w:p w14:paraId="5B605A4C" w14:textId="77777777" w:rsidR="00915037" w:rsidRPr="00915037" w:rsidRDefault="00915037" w:rsidP="00915037">
            <w:pPr>
              <w:jc w:val="both"/>
              <w:rPr>
                <w:rFonts w:eastAsia="Times New Roman"/>
                <w:color w:val="000000"/>
                <w:sz w:val="20"/>
                <w:szCs w:val="20"/>
                <w:lang w:eastAsia="nl-NL"/>
              </w:rPr>
            </w:pPr>
            <w:proofErr w:type="spellStart"/>
            <w:r w:rsidRPr="00915037">
              <w:rPr>
                <w:rFonts w:eastAsia="Times New Roman"/>
                <w:color w:val="000000"/>
                <w:sz w:val="20"/>
                <w:szCs w:val="20"/>
                <w:lang w:eastAsia="nl-NL"/>
              </w:rPr>
              <w:t>Sustainder</w:t>
            </w:r>
            <w:proofErr w:type="spellEnd"/>
            <w:r w:rsidRPr="00915037">
              <w:rPr>
                <w:rFonts w:eastAsia="Times New Roman"/>
                <w:color w:val="000000"/>
                <w:sz w:val="20"/>
                <w:szCs w:val="20"/>
                <w:lang w:eastAsia="nl-NL"/>
              </w:rPr>
              <w:t xml:space="preserve"> (functioneel)</w:t>
            </w:r>
          </w:p>
        </w:tc>
        <w:tc>
          <w:tcPr>
            <w:tcW w:w="1985" w:type="dxa"/>
            <w:shd w:val="clear" w:color="auto" w:fill="auto"/>
            <w:noWrap/>
          </w:tcPr>
          <w:p w14:paraId="1A750C86" w14:textId="77777777" w:rsidR="00915037" w:rsidRPr="00915037" w:rsidRDefault="00915037" w:rsidP="00915037">
            <w:pPr>
              <w:jc w:val="both"/>
              <w:rPr>
                <w:rFonts w:eastAsia="Times New Roman"/>
                <w:color w:val="000000"/>
                <w:sz w:val="20"/>
                <w:szCs w:val="20"/>
                <w:lang w:eastAsia="nl-NL"/>
              </w:rPr>
            </w:pPr>
            <w:r w:rsidRPr="00915037">
              <w:rPr>
                <w:rFonts w:eastAsia="Times New Roman"/>
                <w:color w:val="000000"/>
                <w:sz w:val="20"/>
                <w:szCs w:val="20"/>
                <w:lang w:eastAsia="nl-NL"/>
              </w:rPr>
              <w:t>8.000</w:t>
            </w:r>
          </w:p>
        </w:tc>
        <w:tc>
          <w:tcPr>
            <w:tcW w:w="1842" w:type="dxa"/>
            <w:shd w:val="clear" w:color="auto" w:fill="auto"/>
            <w:noWrap/>
            <w:vAlign w:val="center"/>
          </w:tcPr>
          <w:p w14:paraId="176E2E46" w14:textId="77777777" w:rsidR="00915037" w:rsidRPr="00915037" w:rsidRDefault="00915037" w:rsidP="00915037">
            <w:pPr>
              <w:jc w:val="both"/>
              <w:rPr>
                <w:rFonts w:eastAsia="Times New Roman"/>
                <w:color w:val="000000"/>
                <w:sz w:val="20"/>
                <w:szCs w:val="20"/>
                <w:lang w:eastAsia="nl-NL"/>
              </w:rPr>
            </w:pPr>
          </w:p>
        </w:tc>
      </w:tr>
      <w:tr w:rsidR="00915037" w:rsidRPr="00915037" w14:paraId="5A00F646" w14:textId="77777777" w:rsidTr="0043393D">
        <w:trPr>
          <w:trHeight w:val="315"/>
        </w:trPr>
        <w:tc>
          <w:tcPr>
            <w:tcW w:w="3544" w:type="dxa"/>
            <w:shd w:val="clear" w:color="auto" w:fill="auto"/>
            <w:noWrap/>
            <w:vAlign w:val="center"/>
          </w:tcPr>
          <w:p w14:paraId="74FA4F84" w14:textId="77777777" w:rsidR="00915037" w:rsidRPr="00915037" w:rsidRDefault="00915037" w:rsidP="00915037">
            <w:pPr>
              <w:jc w:val="both"/>
              <w:rPr>
                <w:rFonts w:eastAsia="Times New Roman"/>
                <w:color w:val="000000"/>
                <w:sz w:val="20"/>
                <w:szCs w:val="20"/>
                <w:lang w:eastAsia="nl-NL"/>
              </w:rPr>
            </w:pPr>
            <w:proofErr w:type="spellStart"/>
            <w:r w:rsidRPr="00915037">
              <w:rPr>
                <w:rFonts w:eastAsia="Times New Roman"/>
                <w:color w:val="000000"/>
                <w:sz w:val="20"/>
                <w:szCs w:val="20"/>
                <w:lang w:eastAsia="nl-NL"/>
              </w:rPr>
              <w:t>Signify</w:t>
            </w:r>
            <w:proofErr w:type="spellEnd"/>
            <w:r w:rsidRPr="00915037">
              <w:rPr>
                <w:rFonts w:eastAsia="Times New Roman"/>
                <w:color w:val="000000"/>
                <w:sz w:val="20"/>
                <w:szCs w:val="20"/>
                <w:lang w:eastAsia="nl-NL"/>
              </w:rPr>
              <w:t xml:space="preserve"> (functioneel)</w:t>
            </w:r>
          </w:p>
        </w:tc>
        <w:tc>
          <w:tcPr>
            <w:tcW w:w="1985" w:type="dxa"/>
            <w:shd w:val="clear" w:color="auto" w:fill="auto"/>
            <w:noWrap/>
          </w:tcPr>
          <w:p w14:paraId="41C97BC1" w14:textId="77777777" w:rsidR="00915037" w:rsidRPr="00915037" w:rsidRDefault="00915037" w:rsidP="00915037">
            <w:pPr>
              <w:jc w:val="both"/>
              <w:rPr>
                <w:rFonts w:eastAsia="Times New Roman"/>
                <w:color w:val="000000"/>
                <w:sz w:val="20"/>
                <w:szCs w:val="20"/>
                <w:lang w:eastAsia="nl-NL"/>
              </w:rPr>
            </w:pPr>
            <w:r w:rsidRPr="00915037">
              <w:rPr>
                <w:rFonts w:eastAsia="Times New Roman"/>
                <w:color w:val="000000"/>
                <w:sz w:val="20"/>
                <w:szCs w:val="20"/>
                <w:lang w:eastAsia="nl-NL"/>
              </w:rPr>
              <w:t>8.000</w:t>
            </w:r>
          </w:p>
        </w:tc>
        <w:tc>
          <w:tcPr>
            <w:tcW w:w="1842" w:type="dxa"/>
            <w:shd w:val="clear" w:color="auto" w:fill="auto"/>
            <w:noWrap/>
            <w:vAlign w:val="center"/>
          </w:tcPr>
          <w:p w14:paraId="699D7E3E" w14:textId="77777777" w:rsidR="00915037" w:rsidRPr="00915037" w:rsidRDefault="00915037" w:rsidP="00915037">
            <w:pPr>
              <w:jc w:val="both"/>
              <w:rPr>
                <w:rFonts w:eastAsia="Times New Roman"/>
                <w:color w:val="000000"/>
                <w:sz w:val="20"/>
                <w:szCs w:val="20"/>
                <w:lang w:eastAsia="nl-NL"/>
              </w:rPr>
            </w:pPr>
          </w:p>
        </w:tc>
      </w:tr>
      <w:tr w:rsidR="00915037" w:rsidRPr="00915037" w14:paraId="4964D34B" w14:textId="77777777" w:rsidTr="0043393D">
        <w:trPr>
          <w:trHeight w:val="315"/>
        </w:trPr>
        <w:tc>
          <w:tcPr>
            <w:tcW w:w="3544" w:type="dxa"/>
            <w:shd w:val="clear" w:color="auto" w:fill="auto"/>
            <w:noWrap/>
            <w:vAlign w:val="center"/>
          </w:tcPr>
          <w:p w14:paraId="71F4CEE4" w14:textId="77777777" w:rsidR="00915037" w:rsidRPr="00915037" w:rsidRDefault="00915037" w:rsidP="00915037">
            <w:pPr>
              <w:jc w:val="both"/>
              <w:rPr>
                <w:rFonts w:eastAsia="Times New Roman"/>
                <w:color w:val="000000"/>
                <w:sz w:val="20"/>
                <w:szCs w:val="20"/>
                <w:lang w:eastAsia="nl-NL"/>
              </w:rPr>
            </w:pPr>
            <w:proofErr w:type="spellStart"/>
            <w:r w:rsidRPr="00915037">
              <w:rPr>
                <w:rFonts w:eastAsia="Times New Roman"/>
                <w:color w:val="000000"/>
                <w:sz w:val="20"/>
                <w:szCs w:val="20"/>
                <w:lang w:eastAsia="nl-NL"/>
              </w:rPr>
              <w:t>Lightwell</w:t>
            </w:r>
            <w:proofErr w:type="spellEnd"/>
            <w:r w:rsidRPr="00915037">
              <w:rPr>
                <w:rFonts w:eastAsia="Times New Roman"/>
                <w:color w:val="000000"/>
                <w:sz w:val="20"/>
                <w:szCs w:val="20"/>
                <w:lang w:eastAsia="nl-NL"/>
              </w:rPr>
              <w:t xml:space="preserve"> (functioneel)</w:t>
            </w:r>
          </w:p>
        </w:tc>
        <w:tc>
          <w:tcPr>
            <w:tcW w:w="1985" w:type="dxa"/>
            <w:shd w:val="clear" w:color="auto" w:fill="auto"/>
            <w:noWrap/>
          </w:tcPr>
          <w:p w14:paraId="57B1FD82" w14:textId="77777777" w:rsidR="00915037" w:rsidRPr="00915037" w:rsidRDefault="00915037" w:rsidP="00915037">
            <w:pPr>
              <w:jc w:val="both"/>
              <w:rPr>
                <w:rFonts w:eastAsia="Times New Roman"/>
                <w:color w:val="000000"/>
                <w:sz w:val="20"/>
                <w:szCs w:val="20"/>
                <w:lang w:eastAsia="nl-NL"/>
              </w:rPr>
            </w:pPr>
            <w:r w:rsidRPr="00915037">
              <w:rPr>
                <w:rFonts w:eastAsia="Times New Roman"/>
                <w:color w:val="000000"/>
                <w:sz w:val="20"/>
                <w:szCs w:val="20"/>
                <w:lang w:eastAsia="nl-NL"/>
              </w:rPr>
              <w:t>8.000</w:t>
            </w:r>
          </w:p>
        </w:tc>
        <w:tc>
          <w:tcPr>
            <w:tcW w:w="1842" w:type="dxa"/>
            <w:shd w:val="clear" w:color="auto" w:fill="auto"/>
            <w:noWrap/>
            <w:vAlign w:val="center"/>
          </w:tcPr>
          <w:p w14:paraId="625747A8" w14:textId="77777777" w:rsidR="00915037" w:rsidRPr="00915037" w:rsidRDefault="00915037" w:rsidP="00915037">
            <w:pPr>
              <w:jc w:val="both"/>
              <w:rPr>
                <w:rFonts w:eastAsia="Times New Roman"/>
                <w:color w:val="000000"/>
                <w:sz w:val="20"/>
                <w:szCs w:val="20"/>
                <w:lang w:eastAsia="nl-NL"/>
              </w:rPr>
            </w:pPr>
          </w:p>
        </w:tc>
      </w:tr>
      <w:bookmarkEnd w:id="2"/>
    </w:tbl>
    <w:p w14:paraId="3C0AC73A" w14:textId="77777777" w:rsidR="00915037" w:rsidRPr="00915037" w:rsidRDefault="00915037" w:rsidP="00915037">
      <w:pPr>
        <w:keepNext/>
        <w:keepLines/>
        <w:jc w:val="both"/>
        <w:outlineLvl w:val="3"/>
        <w:rPr>
          <w:rFonts w:eastAsia="Times New Roman"/>
          <w:b/>
          <w:iCs/>
          <w:sz w:val="20"/>
          <w:szCs w:val="20"/>
        </w:rPr>
      </w:pPr>
    </w:p>
    <w:bookmarkEnd w:id="1"/>
    <w:p w14:paraId="369280CF" w14:textId="06BCD371" w:rsidR="00915037" w:rsidRPr="00915037" w:rsidRDefault="00915037" w:rsidP="00915037">
      <w:pPr>
        <w:spacing w:after="160" w:line="259" w:lineRule="auto"/>
        <w:rPr>
          <w:rFonts w:eastAsia="Times New Roman"/>
          <w:b/>
          <w:iCs/>
          <w:sz w:val="20"/>
          <w:szCs w:val="20"/>
        </w:rPr>
      </w:pPr>
      <w:r w:rsidRPr="00915037">
        <w:rPr>
          <w:rFonts w:eastAsia="Times New Roman"/>
          <w:b/>
          <w:iCs/>
          <w:sz w:val="20"/>
          <w:szCs w:val="20"/>
        </w:rPr>
        <w:t>Kortings- /opslagpercentage op de actuele bruto/netto prijslijsten onderdelen</w:t>
      </w:r>
    </w:p>
    <w:p w14:paraId="2D645AC5" w14:textId="77777777" w:rsidR="00915037" w:rsidRPr="00915037" w:rsidRDefault="00915037" w:rsidP="00915037">
      <w:pPr>
        <w:spacing w:after="160"/>
        <w:jc w:val="both"/>
        <w:rPr>
          <w:sz w:val="20"/>
          <w:szCs w:val="20"/>
        </w:rPr>
      </w:pPr>
      <w:r w:rsidRPr="00915037">
        <w:rPr>
          <w:sz w:val="20"/>
          <w:szCs w:val="20"/>
        </w:rPr>
        <w:t xml:space="preserve">De Inschrijver vult in onderstaande tabel per leverancier het </w:t>
      </w:r>
      <w:proofErr w:type="spellStart"/>
      <w:r w:rsidRPr="00915037">
        <w:rPr>
          <w:sz w:val="20"/>
          <w:szCs w:val="20"/>
        </w:rPr>
        <w:t>kortings</w:t>
      </w:r>
      <w:proofErr w:type="spellEnd"/>
      <w:r w:rsidRPr="00915037">
        <w:rPr>
          <w:sz w:val="20"/>
          <w:szCs w:val="20"/>
        </w:rPr>
        <w:t xml:space="preserve"> – of opslagpercentage in dat geldt voor de meest recente catalogussen met de daarbij bijbehorende prijslijsten. Deze kortingen gelden voor alle catalogusproducten welke niet in het bestek zijn opgenomen (lampen, drivers, </w:t>
      </w:r>
      <w:proofErr w:type="spellStart"/>
      <w:r w:rsidRPr="00915037">
        <w:rPr>
          <w:sz w:val="20"/>
          <w:szCs w:val="20"/>
        </w:rPr>
        <w:t>VSA’s</w:t>
      </w:r>
      <w:proofErr w:type="spellEnd"/>
      <w:r w:rsidRPr="00915037">
        <w:rPr>
          <w:sz w:val="20"/>
          <w:szCs w:val="20"/>
        </w:rPr>
        <w:t xml:space="preserve">, etc.). </w:t>
      </w:r>
    </w:p>
    <w:p w14:paraId="7DFAFBAC" w14:textId="77777777" w:rsidR="00915037" w:rsidRPr="00915037" w:rsidRDefault="00915037" w:rsidP="00915037">
      <w:pPr>
        <w:spacing w:after="160"/>
        <w:jc w:val="both"/>
        <w:rPr>
          <w:sz w:val="20"/>
          <w:szCs w:val="20"/>
        </w:rPr>
      </w:pP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1985"/>
        <w:gridCol w:w="1842"/>
      </w:tblGrid>
      <w:tr w:rsidR="00915037" w:rsidRPr="00915037" w14:paraId="186BA77F" w14:textId="77777777" w:rsidTr="0043393D">
        <w:trPr>
          <w:trHeight w:val="615"/>
        </w:trPr>
        <w:tc>
          <w:tcPr>
            <w:tcW w:w="3544" w:type="dxa"/>
            <w:shd w:val="clear" w:color="auto" w:fill="auto"/>
            <w:noWrap/>
            <w:vAlign w:val="center"/>
            <w:hideMark/>
          </w:tcPr>
          <w:p w14:paraId="2095F9F6" w14:textId="77777777" w:rsidR="00915037" w:rsidRPr="00915037" w:rsidRDefault="00915037" w:rsidP="00915037">
            <w:pPr>
              <w:jc w:val="both"/>
              <w:rPr>
                <w:rFonts w:eastAsia="Times New Roman"/>
                <w:color w:val="000000"/>
                <w:lang w:eastAsia="nl-NL"/>
              </w:rPr>
            </w:pPr>
            <w:r w:rsidRPr="00915037">
              <w:rPr>
                <w:rFonts w:eastAsia="Times New Roman"/>
                <w:color w:val="000000"/>
                <w:lang w:eastAsia="nl-NL"/>
              </w:rPr>
              <w:t>Leverancier</w:t>
            </w:r>
          </w:p>
        </w:tc>
        <w:tc>
          <w:tcPr>
            <w:tcW w:w="1985" w:type="dxa"/>
            <w:shd w:val="clear" w:color="auto" w:fill="auto"/>
            <w:noWrap/>
            <w:vAlign w:val="center"/>
            <w:hideMark/>
          </w:tcPr>
          <w:p w14:paraId="34A30B3D" w14:textId="77777777" w:rsidR="00915037" w:rsidRPr="00915037" w:rsidRDefault="00915037" w:rsidP="00915037">
            <w:pPr>
              <w:jc w:val="center"/>
              <w:rPr>
                <w:rFonts w:eastAsia="Times New Roman"/>
                <w:color w:val="000000"/>
                <w:lang w:eastAsia="nl-NL"/>
              </w:rPr>
            </w:pPr>
            <w:r w:rsidRPr="00915037">
              <w:rPr>
                <w:rFonts w:eastAsia="Times New Roman"/>
                <w:color w:val="000000"/>
                <w:sz w:val="20"/>
                <w:szCs w:val="20"/>
                <w:lang w:eastAsia="nl-NL"/>
              </w:rPr>
              <w:t>Aantal stuks (indicatief)</w:t>
            </w:r>
          </w:p>
        </w:tc>
        <w:tc>
          <w:tcPr>
            <w:tcW w:w="1842" w:type="dxa"/>
            <w:shd w:val="clear" w:color="auto" w:fill="auto"/>
            <w:noWrap/>
            <w:vAlign w:val="center"/>
            <w:hideMark/>
          </w:tcPr>
          <w:p w14:paraId="6DF2F7D4" w14:textId="77777777" w:rsidR="00915037" w:rsidRPr="00915037" w:rsidRDefault="00915037" w:rsidP="00915037">
            <w:pPr>
              <w:jc w:val="both"/>
              <w:rPr>
                <w:rFonts w:eastAsia="Times New Roman"/>
                <w:color w:val="000000"/>
                <w:lang w:eastAsia="nl-NL"/>
              </w:rPr>
            </w:pPr>
            <w:r w:rsidRPr="00915037">
              <w:rPr>
                <w:rFonts w:eastAsia="Times New Roman"/>
                <w:color w:val="000000"/>
                <w:lang w:eastAsia="nl-NL"/>
              </w:rPr>
              <w:t>Korting/</w:t>
            </w:r>
          </w:p>
          <w:p w14:paraId="1D1A6399" w14:textId="77777777" w:rsidR="00915037" w:rsidRPr="00915037" w:rsidRDefault="00915037" w:rsidP="00915037">
            <w:pPr>
              <w:jc w:val="both"/>
              <w:rPr>
                <w:rFonts w:eastAsia="Times New Roman"/>
                <w:color w:val="000000"/>
                <w:lang w:eastAsia="nl-NL"/>
              </w:rPr>
            </w:pPr>
            <w:r w:rsidRPr="00915037">
              <w:rPr>
                <w:rFonts w:eastAsia="Times New Roman"/>
                <w:color w:val="000000"/>
                <w:lang w:eastAsia="nl-NL"/>
              </w:rPr>
              <w:t>Opslag (%)</w:t>
            </w:r>
          </w:p>
        </w:tc>
      </w:tr>
      <w:tr w:rsidR="00915037" w:rsidRPr="00915037" w14:paraId="2129A9E8" w14:textId="77777777" w:rsidTr="0043393D">
        <w:trPr>
          <w:trHeight w:val="315"/>
        </w:trPr>
        <w:tc>
          <w:tcPr>
            <w:tcW w:w="3544" w:type="dxa"/>
            <w:shd w:val="clear" w:color="auto" w:fill="auto"/>
            <w:noWrap/>
            <w:vAlign w:val="center"/>
            <w:hideMark/>
          </w:tcPr>
          <w:p w14:paraId="75056E7A" w14:textId="77777777" w:rsidR="00915037" w:rsidRPr="00915037" w:rsidRDefault="00915037" w:rsidP="00915037">
            <w:pPr>
              <w:jc w:val="both"/>
              <w:rPr>
                <w:rFonts w:eastAsia="Times New Roman"/>
                <w:color w:val="000000"/>
                <w:lang w:eastAsia="nl-NL"/>
              </w:rPr>
            </w:pPr>
            <w:proofErr w:type="spellStart"/>
            <w:r w:rsidRPr="00915037">
              <w:rPr>
                <w:rFonts w:eastAsia="Times New Roman"/>
                <w:color w:val="000000"/>
                <w:lang w:eastAsia="nl-NL"/>
              </w:rPr>
              <w:t>Osram</w:t>
            </w:r>
            <w:proofErr w:type="spellEnd"/>
            <w:r w:rsidRPr="00915037">
              <w:rPr>
                <w:rFonts w:eastAsia="Times New Roman"/>
                <w:color w:val="000000"/>
                <w:lang w:eastAsia="nl-NL"/>
              </w:rPr>
              <w:t xml:space="preserve"> - VSA en drivers </w:t>
            </w:r>
          </w:p>
        </w:tc>
        <w:tc>
          <w:tcPr>
            <w:tcW w:w="1985" w:type="dxa"/>
            <w:shd w:val="clear" w:color="auto" w:fill="auto"/>
            <w:noWrap/>
            <w:vAlign w:val="center"/>
            <w:hideMark/>
          </w:tcPr>
          <w:p w14:paraId="6C6C3920" w14:textId="77777777" w:rsidR="00915037" w:rsidRPr="00915037" w:rsidRDefault="00915037" w:rsidP="00915037">
            <w:pPr>
              <w:jc w:val="both"/>
              <w:rPr>
                <w:rFonts w:eastAsia="Times New Roman"/>
                <w:color w:val="000000"/>
                <w:sz w:val="20"/>
                <w:szCs w:val="20"/>
                <w:lang w:eastAsia="nl-NL"/>
              </w:rPr>
            </w:pPr>
            <w:r w:rsidRPr="00915037">
              <w:rPr>
                <w:rFonts w:eastAsia="Times New Roman"/>
                <w:color w:val="000000"/>
                <w:sz w:val="20"/>
                <w:szCs w:val="20"/>
                <w:lang w:eastAsia="nl-NL"/>
              </w:rPr>
              <w:t>100</w:t>
            </w:r>
          </w:p>
        </w:tc>
        <w:tc>
          <w:tcPr>
            <w:tcW w:w="1842" w:type="dxa"/>
            <w:shd w:val="clear" w:color="auto" w:fill="auto"/>
            <w:noWrap/>
            <w:vAlign w:val="center"/>
          </w:tcPr>
          <w:p w14:paraId="0ED875BE" w14:textId="77777777" w:rsidR="00915037" w:rsidRPr="00915037" w:rsidRDefault="00915037" w:rsidP="00915037">
            <w:pPr>
              <w:jc w:val="both"/>
              <w:rPr>
                <w:rFonts w:eastAsia="Times New Roman"/>
                <w:color w:val="000000"/>
                <w:lang w:eastAsia="nl-NL"/>
              </w:rPr>
            </w:pPr>
            <w:r w:rsidRPr="00915037">
              <w:rPr>
                <w:rFonts w:eastAsia="Times New Roman"/>
                <w:color w:val="000000"/>
                <w:lang w:eastAsia="nl-NL"/>
              </w:rPr>
              <w:t xml:space="preserve"> </w:t>
            </w:r>
          </w:p>
        </w:tc>
      </w:tr>
      <w:tr w:rsidR="00915037" w:rsidRPr="00915037" w14:paraId="2A01127D" w14:textId="77777777" w:rsidTr="0043393D">
        <w:trPr>
          <w:trHeight w:val="315"/>
        </w:trPr>
        <w:tc>
          <w:tcPr>
            <w:tcW w:w="3544" w:type="dxa"/>
            <w:shd w:val="clear" w:color="auto" w:fill="auto"/>
            <w:noWrap/>
            <w:vAlign w:val="center"/>
          </w:tcPr>
          <w:p w14:paraId="5667DF61" w14:textId="77777777" w:rsidR="00915037" w:rsidRPr="00915037" w:rsidRDefault="00915037" w:rsidP="00915037">
            <w:pPr>
              <w:jc w:val="both"/>
              <w:rPr>
                <w:rFonts w:eastAsia="Times New Roman"/>
                <w:color w:val="000000"/>
                <w:lang w:eastAsia="nl-NL"/>
              </w:rPr>
            </w:pPr>
            <w:proofErr w:type="spellStart"/>
            <w:r w:rsidRPr="00915037">
              <w:rPr>
                <w:rFonts w:eastAsia="Times New Roman"/>
                <w:color w:val="000000"/>
                <w:lang w:eastAsia="nl-NL"/>
              </w:rPr>
              <w:t>Osram</w:t>
            </w:r>
            <w:proofErr w:type="spellEnd"/>
            <w:r w:rsidRPr="00915037">
              <w:rPr>
                <w:rFonts w:eastAsia="Times New Roman"/>
                <w:color w:val="000000"/>
                <w:lang w:eastAsia="nl-NL"/>
              </w:rPr>
              <w:t xml:space="preserve"> - (compact) HID</w:t>
            </w:r>
          </w:p>
        </w:tc>
        <w:tc>
          <w:tcPr>
            <w:tcW w:w="1985" w:type="dxa"/>
            <w:shd w:val="clear" w:color="auto" w:fill="auto"/>
            <w:noWrap/>
          </w:tcPr>
          <w:p w14:paraId="69F16B9F" w14:textId="77777777" w:rsidR="00915037" w:rsidRPr="00915037" w:rsidRDefault="00915037" w:rsidP="00915037">
            <w:pPr>
              <w:jc w:val="both"/>
              <w:rPr>
                <w:rFonts w:eastAsia="Times New Roman"/>
                <w:color w:val="000000"/>
                <w:sz w:val="20"/>
                <w:szCs w:val="20"/>
                <w:lang w:eastAsia="nl-NL"/>
              </w:rPr>
            </w:pPr>
            <w:r w:rsidRPr="00915037">
              <w:rPr>
                <w:rFonts w:eastAsia="Times New Roman"/>
                <w:color w:val="000000"/>
                <w:sz w:val="20"/>
                <w:szCs w:val="20"/>
                <w:lang w:eastAsia="nl-NL"/>
              </w:rPr>
              <w:t>150</w:t>
            </w:r>
          </w:p>
        </w:tc>
        <w:tc>
          <w:tcPr>
            <w:tcW w:w="1842" w:type="dxa"/>
            <w:shd w:val="clear" w:color="auto" w:fill="auto"/>
            <w:noWrap/>
            <w:vAlign w:val="center"/>
          </w:tcPr>
          <w:p w14:paraId="6DBA955D" w14:textId="77777777" w:rsidR="00915037" w:rsidRPr="00915037" w:rsidRDefault="00915037" w:rsidP="00915037">
            <w:pPr>
              <w:jc w:val="both"/>
              <w:rPr>
                <w:rFonts w:eastAsia="Times New Roman"/>
                <w:color w:val="000000"/>
                <w:lang w:eastAsia="nl-NL"/>
              </w:rPr>
            </w:pPr>
          </w:p>
        </w:tc>
      </w:tr>
      <w:tr w:rsidR="00915037" w:rsidRPr="00915037" w14:paraId="37061BD5" w14:textId="77777777" w:rsidTr="0043393D">
        <w:trPr>
          <w:trHeight w:val="315"/>
        </w:trPr>
        <w:tc>
          <w:tcPr>
            <w:tcW w:w="3544" w:type="dxa"/>
            <w:shd w:val="clear" w:color="auto" w:fill="auto"/>
            <w:noWrap/>
            <w:vAlign w:val="center"/>
            <w:hideMark/>
          </w:tcPr>
          <w:p w14:paraId="062F0913" w14:textId="77777777" w:rsidR="00915037" w:rsidRPr="00915037" w:rsidRDefault="00915037" w:rsidP="00915037">
            <w:pPr>
              <w:jc w:val="both"/>
              <w:rPr>
                <w:rFonts w:eastAsia="Times New Roman"/>
                <w:color w:val="000000"/>
                <w:lang w:eastAsia="nl-NL"/>
              </w:rPr>
            </w:pPr>
            <w:proofErr w:type="spellStart"/>
            <w:r w:rsidRPr="00915037">
              <w:t>Signify</w:t>
            </w:r>
            <w:proofErr w:type="spellEnd"/>
            <w:r w:rsidRPr="00915037">
              <w:rPr>
                <w:rFonts w:eastAsia="Times New Roman"/>
                <w:color w:val="000000"/>
                <w:lang w:eastAsia="nl-NL"/>
              </w:rPr>
              <w:t xml:space="preserve"> (VRG 43)*</w:t>
            </w:r>
          </w:p>
        </w:tc>
        <w:tc>
          <w:tcPr>
            <w:tcW w:w="1985" w:type="dxa"/>
            <w:shd w:val="clear" w:color="auto" w:fill="auto"/>
            <w:noWrap/>
            <w:hideMark/>
          </w:tcPr>
          <w:p w14:paraId="557BD234" w14:textId="77777777" w:rsidR="00915037" w:rsidRPr="00915037" w:rsidRDefault="00915037" w:rsidP="00915037">
            <w:pPr>
              <w:jc w:val="both"/>
              <w:rPr>
                <w:rFonts w:eastAsia="Times New Roman"/>
                <w:color w:val="000000"/>
                <w:sz w:val="20"/>
                <w:szCs w:val="20"/>
                <w:lang w:eastAsia="nl-NL"/>
              </w:rPr>
            </w:pPr>
            <w:r w:rsidRPr="00915037">
              <w:rPr>
                <w:rFonts w:eastAsia="Times New Roman"/>
                <w:color w:val="000000"/>
                <w:sz w:val="20"/>
                <w:szCs w:val="20"/>
                <w:lang w:eastAsia="nl-NL"/>
              </w:rPr>
              <w:t>100</w:t>
            </w:r>
          </w:p>
        </w:tc>
        <w:tc>
          <w:tcPr>
            <w:tcW w:w="1842" w:type="dxa"/>
            <w:shd w:val="clear" w:color="auto" w:fill="auto"/>
            <w:noWrap/>
            <w:vAlign w:val="center"/>
          </w:tcPr>
          <w:p w14:paraId="0A3BE67E" w14:textId="77777777" w:rsidR="00915037" w:rsidRPr="00915037" w:rsidRDefault="00915037" w:rsidP="00915037">
            <w:pPr>
              <w:jc w:val="both"/>
              <w:rPr>
                <w:rFonts w:eastAsia="Times New Roman"/>
                <w:color w:val="000000"/>
                <w:lang w:eastAsia="nl-NL"/>
              </w:rPr>
            </w:pPr>
          </w:p>
        </w:tc>
      </w:tr>
      <w:tr w:rsidR="00915037" w:rsidRPr="00915037" w14:paraId="7C529AE0" w14:textId="77777777" w:rsidTr="0043393D">
        <w:trPr>
          <w:trHeight w:val="315"/>
        </w:trPr>
        <w:tc>
          <w:tcPr>
            <w:tcW w:w="3544" w:type="dxa"/>
            <w:shd w:val="clear" w:color="auto" w:fill="auto"/>
            <w:noWrap/>
            <w:vAlign w:val="center"/>
          </w:tcPr>
          <w:p w14:paraId="00668CBB" w14:textId="77777777" w:rsidR="00915037" w:rsidRPr="00915037" w:rsidRDefault="00915037" w:rsidP="00915037">
            <w:pPr>
              <w:jc w:val="both"/>
            </w:pPr>
            <w:proofErr w:type="spellStart"/>
            <w:r w:rsidRPr="00915037">
              <w:t>Signify</w:t>
            </w:r>
            <w:proofErr w:type="spellEnd"/>
            <w:r w:rsidRPr="00915037">
              <w:t xml:space="preserve"> (VRG 46,61)*</w:t>
            </w:r>
          </w:p>
        </w:tc>
        <w:tc>
          <w:tcPr>
            <w:tcW w:w="1985" w:type="dxa"/>
            <w:shd w:val="clear" w:color="auto" w:fill="auto"/>
            <w:noWrap/>
          </w:tcPr>
          <w:p w14:paraId="793186F2" w14:textId="77777777" w:rsidR="00915037" w:rsidRPr="00915037" w:rsidRDefault="00915037" w:rsidP="00915037">
            <w:pPr>
              <w:jc w:val="both"/>
              <w:rPr>
                <w:rFonts w:eastAsia="Times New Roman"/>
                <w:color w:val="000000"/>
                <w:sz w:val="20"/>
                <w:szCs w:val="20"/>
                <w:lang w:eastAsia="nl-NL"/>
              </w:rPr>
            </w:pPr>
            <w:r w:rsidRPr="00915037">
              <w:rPr>
                <w:rFonts w:eastAsia="Times New Roman"/>
                <w:color w:val="000000"/>
                <w:sz w:val="20"/>
                <w:szCs w:val="20"/>
                <w:lang w:eastAsia="nl-NL"/>
              </w:rPr>
              <w:t>150</w:t>
            </w:r>
          </w:p>
        </w:tc>
        <w:tc>
          <w:tcPr>
            <w:tcW w:w="1842" w:type="dxa"/>
            <w:shd w:val="clear" w:color="auto" w:fill="auto"/>
            <w:noWrap/>
            <w:vAlign w:val="center"/>
          </w:tcPr>
          <w:p w14:paraId="7C12E7C6" w14:textId="77777777" w:rsidR="00915037" w:rsidRPr="00915037" w:rsidRDefault="00915037" w:rsidP="00915037">
            <w:pPr>
              <w:jc w:val="both"/>
            </w:pPr>
          </w:p>
        </w:tc>
      </w:tr>
    </w:tbl>
    <w:p w14:paraId="3CCD2A00" w14:textId="7914A02D" w:rsidR="00915037" w:rsidRPr="00915037" w:rsidRDefault="00915037" w:rsidP="00915037">
      <w:pPr>
        <w:spacing w:after="160" w:line="259" w:lineRule="auto"/>
        <w:rPr>
          <w:i/>
          <w:iCs/>
        </w:rPr>
      </w:pPr>
      <w:r w:rsidRPr="00915037">
        <w:rPr>
          <w:color w:val="000000"/>
          <w:sz w:val="20"/>
          <w:szCs w:val="20"/>
        </w:rPr>
        <w:br/>
      </w:r>
      <w:r w:rsidRPr="00915037">
        <w:rPr>
          <w:i/>
          <w:iCs/>
        </w:rPr>
        <w:t>* VRG 43: VSA en drivers</w:t>
      </w:r>
      <w:r w:rsidRPr="00915037">
        <w:rPr>
          <w:i/>
          <w:iCs/>
        </w:rPr>
        <w:br/>
        <w:t>* VRG 46,61: (compact) HID</w:t>
      </w:r>
      <w:r w:rsidRPr="00915037">
        <w:rPr>
          <w:i/>
          <w:iCs/>
        </w:rPr>
        <w:br/>
      </w:r>
    </w:p>
    <w:p w14:paraId="25D11060" w14:textId="77777777" w:rsidR="00915037" w:rsidRPr="00915037" w:rsidRDefault="00915037" w:rsidP="00915037">
      <w:pPr>
        <w:spacing w:after="160" w:line="259" w:lineRule="auto"/>
        <w:rPr>
          <w:color w:val="000000"/>
          <w:sz w:val="20"/>
          <w:szCs w:val="20"/>
        </w:rPr>
      </w:pPr>
      <w:r w:rsidRPr="00915037">
        <w:rPr>
          <w:color w:val="000000"/>
          <w:sz w:val="20"/>
          <w:szCs w:val="20"/>
        </w:rPr>
        <w:t>De Inschrijver verklaart dat de in deze bijlage opgegeven kortingspercentages gelden gedurende de looptijd van de overeenkomst, inclusief eventuele verlengingen.</w:t>
      </w:r>
    </w:p>
    <w:p w14:paraId="606E0C90" w14:textId="77777777" w:rsidR="00915037" w:rsidRPr="00915037" w:rsidRDefault="00915037" w:rsidP="00915037">
      <w:pPr>
        <w:spacing w:after="160"/>
        <w:jc w:val="both"/>
        <w:rPr>
          <w:sz w:val="20"/>
          <w:szCs w:val="20"/>
        </w:rPr>
      </w:pPr>
      <w:r w:rsidRPr="00915037">
        <w:rPr>
          <w:sz w:val="20"/>
          <w:szCs w:val="20"/>
        </w:rPr>
        <w:t>Opgemaakt:</w:t>
      </w:r>
    </w:p>
    <w:p w14:paraId="78E4DA68" w14:textId="77777777" w:rsidR="00915037" w:rsidRPr="00915037" w:rsidRDefault="00915037" w:rsidP="00915037">
      <w:pPr>
        <w:spacing w:after="160"/>
        <w:jc w:val="both"/>
        <w:rPr>
          <w:sz w:val="20"/>
          <w:szCs w:val="20"/>
        </w:rPr>
      </w:pPr>
      <w:r w:rsidRPr="00915037">
        <w:rPr>
          <w:sz w:val="20"/>
          <w:szCs w:val="20"/>
        </w:rPr>
        <w:t>op…….……….……….……………………………………………………….……………………... (datum)</w:t>
      </w:r>
    </w:p>
    <w:p w14:paraId="7E9BCFC6" w14:textId="77777777" w:rsidR="00915037" w:rsidRPr="00915037" w:rsidRDefault="00915037" w:rsidP="00915037">
      <w:pPr>
        <w:spacing w:after="160"/>
        <w:jc w:val="both"/>
        <w:rPr>
          <w:sz w:val="20"/>
          <w:szCs w:val="20"/>
        </w:rPr>
      </w:pPr>
      <w:r w:rsidRPr="00915037">
        <w:rPr>
          <w:sz w:val="20"/>
          <w:szCs w:val="20"/>
        </w:rPr>
        <w:t>te …….……….……….……………………………………………………….……………………... (plaats)</w:t>
      </w:r>
    </w:p>
    <w:p w14:paraId="3A7ED2D8" w14:textId="77777777" w:rsidR="00915037" w:rsidRPr="00915037" w:rsidRDefault="00915037" w:rsidP="00915037">
      <w:pPr>
        <w:spacing w:after="160"/>
        <w:jc w:val="both"/>
        <w:rPr>
          <w:sz w:val="20"/>
          <w:szCs w:val="20"/>
        </w:rPr>
      </w:pPr>
      <w:r w:rsidRPr="00915037">
        <w:rPr>
          <w:sz w:val="20"/>
          <w:szCs w:val="20"/>
        </w:rPr>
        <w:t xml:space="preserve">door …….…….……….……….……………………………………………..……………………… (naam en voorletters) </w:t>
      </w:r>
    </w:p>
    <w:p w14:paraId="2E6B824F" w14:textId="77777777" w:rsidR="00915037" w:rsidRPr="00915037" w:rsidRDefault="00915037" w:rsidP="00915037">
      <w:pPr>
        <w:spacing w:after="160"/>
        <w:jc w:val="both"/>
        <w:rPr>
          <w:sz w:val="20"/>
          <w:szCs w:val="20"/>
        </w:rPr>
      </w:pPr>
      <w:r w:rsidRPr="00915037">
        <w:rPr>
          <w:sz w:val="20"/>
          <w:szCs w:val="20"/>
        </w:rPr>
        <w:t>als rechtsgeldig vertegenwoordiger van …….…….……….……….………………………(naam bedrijf)</w:t>
      </w:r>
    </w:p>
    <w:p w14:paraId="6D72E25E" w14:textId="77777777" w:rsidR="00915037" w:rsidRPr="00915037" w:rsidRDefault="00915037" w:rsidP="00915037">
      <w:pPr>
        <w:spacing w:after="160"/>
        <w:jc w:val="both"/>
        <w:rPr>
          <w:sz w:val="20"/>
          <w:szCs w:val="20"/>
        </w:rPr>
      </w:pPr>
    </w:p>
    <w:p w14:paraId="6B632FE6" w14:textId="77777777" w:rsidR="00915037" w:rsidRPr="00915037" w:rsidRDefault="00915037" w:rsidP="00915037">
      <w:pPr>
        <w:spacing w:after="160"/>
        <w:jc w:val="both"/>
        <w:rPr>
          <w:sz w:val="20"/>
          <w:szCs w:val="20"/>
        </w:rPr>
      </w:pPr>
    </w:p>
    <w:p w14:paraId="57317F38" w14:textId="77777777" w:rsidR="00915037" w:rsidRPr="00915037" w:rsidRDefault="00915037" w:rsidP="00915037">
      <w:pPr>
        <w:spacing w:after="160"/>
        <w:jc w:val="both"/>
        <w:rPr>
          <w:sz w:val="20"/>
          <w:szCs w:val="20"/>
        </w:rPr>
      </w:pPr>
    </w:p>
    <w:p w14:paraId="20EA5A24" w14:textId="77777777" w:rsidR="00915037" w:rsidRPr="00915037" w:rsidRDefault="00915037" w:rsidP="00915037">
      <w:pPr>
        <w:spacing w:after="160"/>
        <w:jc w:val="both"/>
        <w:rPr>
          <w:sz w:val="20"/>
          <w:szCs w:val="20"/>
        </w:rPr>
      </w:pPr>
      <w:r w:rsidRPr="00915037">
        <w:rPr>
          <w:sz w:val="20"/>
          <w:szCs w:val="20"/>
        </w:rPr>
        <w:t>…………………………..…….……….… (handtekening)</w:t>
      </w:r>
    </w:p>
    <w:p w14:paraId="302CD468" w14:textId="7C6707A8" w:rsidR="00617BCD" w:rsidRPr="002739D0" w:rsidRDefault="00617BCD">
      <w:pPr>
        <w:spacing w:after="160" w:line="259" w:lineRule="auto"/>
        <w:rPr>
          <w:b/>
        </w:rPr>
      </w:pPr>
    </w:p>
    <w:sectPr w:rsidR="00617BCD" w:rsidRPr="002739D0" w:rsidSect="00A90A2A">
      <w:headerReference w:type="default" r:id="rId8"/>
      <w:footerReference w:type="default" r:id="rId9"/>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4A410" w14:textId="77777777" w:rsidR="00E4778C" w:rsidRDefault="00E4778C" w:rsidP="003E2124">
      <w:r>
        <w:separator/>
      </w:r>
    </w:p>
  </w:endnote>
  <w:endnote w:type="continuationSeparator" w:id="0">
    <w:p w14:paraId="28BD01D1" w14:textId="77777777" w:rsidR="00E4778C" w:rsidRDefault="00E4778C" w:rsidP="003E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426B7" w14:textId="04A84B92" w:rsidR="00082238" w:rsidRDefault="00E12F90">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C10862">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C10862">
      <w:rPr>
        <w:b/>
        <w:bCs/>
        <w:noProof/>
      </w:rPr>
      <w:t>2</w:t>
    </w:r>
    <w:r>
      <w:rPr>
        <w:b/>
        <w:bCs/>
        <w:sz w:val="24"/>
        <w:szCs w:val="24"/>
      </w:rPr>
      <w:fldChar w:fldCharType="end"/>
    </w:r>
  </w:p>
  <w:p w14:paraId="713E075B" w14:textId="77777777" w:rsidR="00082238" w:rsidRDefault="00C108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8AF88" w14:textId="77777777" w:rsidR="00E4778C" w:rsidRDefault="00E4778C" w:rsidP="003E2124">
      <w:r>
        <w:separator/>
      </w:r>
    </w:p>
  </w:footnote>
  <w:footnote w:type="continuationSeparator" w:id="0">
    <w:p w14:paraId="57BC476A" w14:textId="77777777" w:rsidR="00E4778C" w:rsidRDefault="00E4778C" w:rsidP="003E2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D48D1" w14:textId="493D0A3D" w:rsidR="00356314" w:rsidRDefault="00356314" w:rsidP="002B5B9C">
    <w:pPr>
      <w:jc w:val="center"/>
    </w:pPr>
  </w:p>
  <w:p w14:paraId="772E075F" w14:textId="04EBA6AD" w:rsidR="00091856" w:rsidRDefault="009A19C5" w:rsidP="007539ED">
    <w:pPr>
      <w:jc w:val="center"/>
    </w:pPr>
    <w:r>
      <w:rPr>
        <w:noProof/>
        <w:color w:val="0000FF"/>
        <w:lang w:eastAsia="nl-NL"/>
      </w:rPr>
      <w:drawing>
        <wp:inline distT="0" distB="0" distL="0" distR="0" wp14:anchorId="3035D2BB" wp14:editId="1BE21E50">
          <wp:extent cx="5162550" cy="942975"/>
          <wp:effectExtent l="0" t="0" r="0" b="0"/>
          <wp:docPr id="2" name="Afbeelding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2550" cy="942975"/>
                  </a:xfrm>
                  <a:prstGeom prst="rect">
                    <a:avLst/>
                  </a:prstGeom>
                  <a:noFill/>
                  <a:ln>
                    <a:noFill/>
                  </a:ln>
                </pic:spPr>
              </pic:pic>
            </a:graphicData>
          </a:graphic>
        </wp:inline>
      </w:drawing>
    </w:r>
    <w:hyperlink r:id="rId2" w:tooltip="terug naar homepage" w:history="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E7249"/>
    <w:multiLevelType w:val="hybridMultilevel"/>
    <w:tmpl w:val="7BBC68CE"/>
    <w:lvl w:ilvl="0" w:tplc="718C657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135EB4"/>
    <w:multiLevelType w:val="hybridMultilevel"/>
    <w:tmpl w:val="D0E44B3C"/>
    <w:lvl w:ilvl="0" w:tplc="4A38AD7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EC4AFC"/>
    <w:multiLevelType w:val="hybridMultilevel"/>
    <w:tmpl w:val="FBB28902"/>
    <w:lvl w:ilvl="0" w:tplc="4C72FED0">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06305E"/>
    <w:multiLevelType w:val="hybridMultilevel"/>
    <w:tmpl w:val="DABCE55C"/>
    <w:lvl w:ilvl="0" w:tplc="04130001">
      <w:start w:val="1"/>
      <w:numFmt w:val="bullet"/>
      <w:lvlText w:val=""/>
      <w:lvlJc w:val="left"/>
      <w:pPr>
        <w:ind w:left="19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ED09D8"/>
    <w:multiLevelType w:val="hybridMultilevel"/>
    <w:tmpl w:val="A5903746"/>
    <w:lvl w:ilvl="0" w:tplc="718C657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F826F7"/>
    <w:multiLevelType w:val="hybridMultilevel"/>
    <w:tmpl w:val="02D61D32"/>
    <w:lvl w:ilvl="0" w:tplc="8B98C40E">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676B08"/>
    <w:multiLevelType w:val="hybridMultilevel"/>
    <w:tmpl w:val="B8B0C9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8DF64BD"/>
    <w:multiLevelType w:val="hybridMultilevel"/>
    <w:tmpl w:val="ED1CD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CC15CCB"/>
    <w:multiLevelType w:val="hybridMultilevel"/>
    <w:tmpl w:val="3526561C"/>
    <w:lvl w:ilvl="0" w:tplc="D7741DCC">
      <w:start w:val="2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9AE7EAC"/>
    <w:multiLevelType w:val="hybridMultilevel"/>
    <w:tmpl w:val="804416B2"/>
    <w:lvl w:ilvl="0" w:tplc="D7741DCC">
      <w:start w:val="2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F7C2A68"/>
    <w:multiLevelType w:val="hybridMultilevel"/>
    <w:tmpl w:val="494AE97C"/>
    <w:lvl w:ilvl="0" w:tplc="D7741DCC">
      <w:start w:val="2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10"/>
  </w:num>
  <w:num w:numId="5">
    <w:abstractNumId w:val="4"/>
  </w:num>
  <w:num w:numId="6">
    <w:abstractNumId w:val="0"/>
  </w:num>
  <w:num w:numId="7">
    <w:abstractNumId w:val="1"/>
  </w:num>
  <w:num w:numId="8">
    <w:abstractNumId w:val="6"/>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24"/>
    <w:rsid w:val="000620C3"/>
    <w:rsid w:val="00080318"/>
    <w:rsid w:val="00093E0A"/>
    <w:rsid w:val="000C2A9E"/>
    <w:rsid w:val="000D4E0D"/>
    <w:rsid w:val="000E0F74"/>
    <w:rsid w:val="000E2164"/>
    <w:rsid w:val="000F1AC9"/>
    <w:rsid w:val="00104CB1"/>
    <w:rsid w:val="00171262"/>
    <w:rsid w:val="001728A6"/>
    <w:rsid w:val="0018497F"/>
    <w:rsid w:val="00185188"/>
    <w:rsid w:val="001B2E7A"/>
    <w:rsid w:val="001B7518"/>
    <w:rsid w:val="001E2086"/>
    <w:rsid w:val="00210FD7"/>
    <w:rsid w:val="002739D0"/>
    <w:rsid w:val="00297A98"/>
    <w:rsid w:val="002B5B9C"/>
    <w:rsid w:val="002E2E74"/>
    <w:rsid w:val="002E7053"/>
    <w:rsid w:val="00316B24"/>
    <w:rsid w:val="003501F9"/>
    <w:rsid w:val="00356314"/>
    <w:rsid w:val="003900E0"/>
    <w:rsid w:val="003A6171"/>
    <w:rsid w:val="003E2124"/>
    <w:rsid w:val="004308CC"/>
    <w:rsid w:val="00455065"/>
    <w:rsid w:val="004617D8"/>
    <w:rsid w:val="00475C7B"/>
    <w:rsid w:val="004C769B"/>
    <w:rsid w:val="004D2CC8"/>
    <w:rsid w:val="004E7CF9"/>
    <w:rsid w:val="00584BC0"/>
    <w:rsid w:val="00617BCD"/>
    <w:rsid w:val="00622992"/>
    <w:rsid w:val="00656BB2"/>
    <w:rsid w:val="00684E04"/>
    <w:rsid w:val="0068743F"/>
    <w:rsid w:val="00697844"/>
    <w:rsid w:val="006E70C6"/>
    <w:rsid w:val="00727954"/>
    <w:rsid w:val="007539ED"/>
    <w:rsid w:val="00787662"/>
    <w:rsid w:val="007D15BA"/>
    <w:rsid w:val="007E0C16"/>
    <w:rsid w:val="00820C08"/>
    <w:rsid w:val="008257EF"/>
    <w:rsid w:val="00826EC4"/>
    <w:rsid w:val="008556B6"/>
    <w:rsid w:val="00896C2B"/>
    <w:rsid w:val="008A0400"/>
    <w:rsid w:val="008D5D27"/>
    <w:rsid w:val="0091371A"/>
    <w:rsid w:val="00915037"/>
    <w:rsid w:val="00933BA0"/>
    <w:rsid w:val="009A19C5"/>
    <w:rsid w:val="009B410B"/>
    <w:rsid w:val="009E4243"/>
    <w:rsid w:val="00A439FE"/>
    <w:rsid w:val="00A62D63"/>
    <w:rsid w:val="00A700F8"/>
    <w:rsid w:val="00A828EF"/>
    <w:rsid w:val="00A86D75"/>
    <w:rsid w:val="00A903AA"/>
    <w:rsid w:val="00A90A2A"/>
    <w:rsid w:val="00A94D07"/>
    <w:rsid w:val="00AB63FA"/>
    <w:rsid w:val="00AB6758"/>
    <w:rsid w:val="00AD5A17"/>
    <w:rsid w:val="00AE0F50"/>
    <w:rsid w:val="00AE3A61"/>
    <w:rsid w:val="00AF1D1C"/>
    <w:rsid w:val="00AF2531"/>
    <w:rsid w:val="00B55A2B"/>
    <w:rsid w:val="00C03D33"/>
    <w:rsid w:val="00C10862"/>
    <w:rsid w:val="00C31B3E"/>
    <w:rsid w:val="00CF4A01"/>
    <w:rsid w:val="00D070BD"/>
    <w:rsid w:val="00D368F5"/>
    <w:rsid w:val="00D63E36"/>
    <w:rsid w:val="00DB1F8C"/>
    <w:rsid w:val="00DD0B7B"/>
    <w:rsid w:val="00DF6123"/>
    <w:rsid w:val="00E12F90"/>
    <w:rsid w:val="00E23ED6"/>
    <w:rsid w:val="00E35899"/>
    <w:rsid w:val="00E41BF8"/>
    <w:rsid w:val="00E46D50"/>
    <w:rsid w:val="00E4778C"/>
    <w:rsid w:val="00E82DE1"/>
    <w:rsid w:val="00EB5F08"/>
    <w:rsid w:val="00EC4B16"/>
    <w:rsid w:val="00F0748F"/>
    <w:rsid w:val="00F24874"/>
    <w:rsid w:val="00F30082"/>
    <w:rsid w:val="00F461E3"/>
    <w:rsid w:val="00F666BF"/>
    <w:rsid w:val="00F71D5C"/>
    <w:rsid w:val="00F82FDC"/>
    <w:rsid w:val="00FC1E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E6F11A"/>
  <w15:chartTrackingRefBased/>
  <w15:docId w15:val="{003051A8-527A-43FD-80D5-7D509288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E2124"/>
    <w:pPr>
      <w:spacing w:after="0" w:line="240" w:lineRule="auto"/>
    </w:pPr>
    <w:rPr>
      <w:rFonts w:ascii="Calibri" w:eastAsia="Calibri" w:hAnsi="Calibri" w:cs="Calibri"/>
    </w:rPr>
  </w:style>
  <w:style w:type="paragraph" w:styleId="Kop4">
    <w:name w:val="heading 4"/>
    <w:basedOn w:val="Standaard"/>
    <w:link w:val="Kop4Char"/>
    <w:uiPriority w:val="9"/>
    <w:qFormat/>
    <w:rsid w:val="00AD5A17"/>
    <w:pPr>
      <w:spacing w:before="100" w:beforeAutospacing="1" w:after="100" w:afterAutospacing="1"/>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3E2124"/>
    <w:pPr>
      <w:ind w:left="720"/>
      <w:contextualSpacing/>
    </w:pPr>
  </w:style>
  <w:style w:type="paragraph" w:styleId="Koptekst">
    <w:name w:val="header"/>
    <w:basedOn w:val="Standaard"/>
    <w:link w:val="KoptekstChar"/>
    <w:unhideWhenUsed/>
    <w:rsid w:val="003E2124"/>
    <w:pPr>
      <w:tabs>
        <w:tab w:val="center" w:pos="4536"/>
        <w:tab w:val="right" w:pos="9072"/>
      </w:tabs>
    </w:pPr>
  </w:style>
  <w:style w:type="character" w:customStyle="1" w:styleId="KoptekstChar">
    <w:name w:val="Koptekst Char"/>
    <w:basedOn w:val="Standaardalinea-lettertype"/>
    <w:link w:val="Koptekst"/>
    <w:rsid w:val="003E2124"/>
    <w:rPr>
      <w:rFonts w:ascii="Calibri" w:eastAsia="Calibri" w:hAnsi="Calibri" w:cs="Calibri"/>
    </w:rPr>
  </w:style>
  <w:style w:type="paragraph" w:styleId="Voettekst">
    <w:name w:val="footer"/>
    <w:basedOn w:val="Standaard"/>
    <w:link w:val="VoettekstChar"/>
    <w:uiPriority w:val="99"/>
    <w:unhideWhenUsed/>
    <w:rsid w:val="003E2124"/>
    <w:pPr>
      <w:tabs>
        <w:tab w:val="center" w:pos="4536"/>
        <w:tab w:val="right" w:pos="9072"/>
      </w:tabs>
    </w:pPr>
  </w:style>
  <w:style w:type="character" w:customStyle="1" w:styleId="VoettekstChar">
    <w:name w:val="Voettekst Char"/>
    <w:basedOn w:val="Standaardalinea-lettertype"/>
    <w:link w:val="Voettekst"/>
    <w:uiPriority w:val="99"/>
    <w:rsid w:val="003E2124"/>
    <w:rPr>
      <w:rFonts w:ascii="Calibri" w:eastAsia="Calibri" w:hAnsi="Calibri" w:cs="Calibri"/>
    </w:rPr>
  </w:style>
  <w:style w:type="character" w:styleId="Hyperlink">
    <w:name w:val="Hyperlink"/>
    <w:unhideWhenUsed/>
    <w:rsid w:val="003E2124"/>
    <w:rPr>
      <w:color w:val="0000FF"/>
      <w:u w:val="single"/>
    </w:rPr>
  </w:style>
  <w:style w:type="paragraph" w:styleId="Geenafstand">
    <w:name w:val="No Spacing"/>
    <w:link w:val="GeenafstandChar"/>
    <w:uiPriority w:val="1"/>
    <w:qFormat/>
    <w:rsid w:val="00AE0F50"/>
    <w:pPr>
      <w:spacing w:after="0" w:line="240" w:lineRule="auto"/>
    </w:pPr>
  </w:style>
  <w:style w:type="character" w:styleId="Verwijzingopmerking">
    <w:name w:val="annotation reference"/>
    <w:basedOn w:val="Standaardalinea-lettertype"/>
    <w:uiPriority w:val="99"/>
    <w:semiHidden/>
    <w:unhideWhenUsed/>
    <w:rsid w:val="0068743F"/>
    <w:rPr>
      <w:sz w:val="16"/>
      <w:szCs w:val="16"/>
    </w:rPr>
  </w:style>
  <w:style w:type="paragraph" w:styleId="Tekstopmerking">
    <w:name w:val="annotation text"/>
    <w:basedOn w:val="Standaard"/>
    <w:link w:val="TekstopmerkingChar"/>
    <w:uiPriority w:val="99"/>
    <w:semiHidden/>
    <w:unhideWhenUsed/>
    <w:rsid w:val="0068743F"/>
    <w:rPr>
      <w:sz w:val="20"/>
      <w:szCs w:val="20"/>
    </w:rPr>
  </w:style>
  <w:style w:type="character" w:customStyle="1" w:styleId="TekstopmerkingChar">
    <w:name w:val="Tekst opmerking Char"/>
    <w:basedOn w:val="Standaardalinea-lettertype"/>
    <w:link w:val="Tekstopmerking"/>
    <w:uiPriority w:val="99"/>
    <w:semiHidden/>
    <w:rsid w:val="0068743F"/>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68743F"/>
    <w:rPr>
      <w:b/>
      <w:bCs/>
    </w:rPr>
  </w:style>
  <w:style w:type="character" w:customStyle="1" w:styleId="OnderwerpvanopmerkingChar">
    <w:name w:val="Onderwerp van opmerking Char"/>
    <w:basedOn w:val="TekstopmerkingChar"/>
    <w:link w:val="Onderwerpvanopmerking"/>
    <w:uiPriority w:val="99"/>
    <w:semiHidden/>
    <w:rsid w:val="0068743F"/>
    <w:rPr>
      <w:rFonts w:ascii="Calibri" w:eastAsia="Calibri" w:hAnsi="Calibri" w:cs="Calibri"/>
      <w:b/>
      <w:bCs/>
      <w:sz w:val="20"/>
      <w:szCs w:val="20"/>
    </w:rPr>
  </w:style>
  <w:style w:type="paragraph" w:styleId="Ballontekst">
    <w:name w:val="Balloon Text"/>
    <w:basedOn w:val="Standaard"/>
    <w:link w:val="BallontekstChar"/>
    <w:uiPriority w:val="99"/>
    <w:semiHidden/>
    <w:unhideWhenUsed/>
    <w:rsid w:val="0068743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8743F"/>
    <w:rPr>
      <w:rFonts w:ascii="Segoe UI" w:eastAsia="Calibri" w:hAnsi="Segoe UI" w:cs="Segoe UI"/>
      <w:sz w:val="18"/>
      <w:szCs w:val="18"/>
    </w:rPr>
  </w:style>
  <w:style w:type="paragraph" w:customStyle="1" w:styleId="Default">
    <w:name w:val="Default"/>
    <w:rsid w:val="00EB5F08"/>
    <w:pPr>
      <w:autoSpaceDE w:val="0"/>
      <w:autoSpaceDN w:val="0"/>
      <w:adjustRightInd w:val="0"/>
      <w:spacing w:after="0" w:line="240" w:lineRule="auto"/>
    </w:pPr>
    <w:rPr>
      <w:rFonts w:ascii="Calibri" w:hAnsi="Calibri" w:cs="Calibri"/>
      <w:color w:val="000000"/>
      <w:sz w:val="24"/>
      <w:szCs w:val="24"/>
    </w:rPr>
  </w:style>
  <w:style w:type="character" w:customStyle="1" w:styleId="GeenafstandChar">
    <w:name w:val="Geen afstand Char"/>
    <w:basedOn w:val="Standaardalinea-lettertype"/>
    <w:link w:val="Geenafstand"/>
    <w:uiPriority w:val="1"/>
    <w:rsid w:val="000C2A9E"/>
  </w:style>
  <w:style w:type="table" w:styleId="Tabelraster">
    <w:name w:val="Table Grid"/>
    <w:basedOn w:val="Standaardtabel"/>
    <w:uiPriority w:val="39"/>
    <w:rsid w:val="002B5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AD5A17"/>
    <w:rPr>
      <w:rFonts w:ascii="Times New Roman" w:eastAsia="Times New Roman" w:hAnsi="Times New Roman" w:cs="Times New Roman"/>
      <w:b/>
      <w:bCs/>
      <w:sz w:val="24"/>
      <w:szCs w:val="24"/>
      <w:lang w:eastAsia="nl-NL"/>
    </w:rPr>
  </w:style>
  <w:style w:type="character" w:styleId="Zwaar">
    <w:name w:val="Strong"/>
    <w:basedOn w:val="Standaardalinea-lettertype"/>
    <w:uiPriority w:val="22"/>
    <w:qFormat/>
    <w:rsid w:val="00AD5A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98712">
      <w:bodyDiv w:val="1"/>
      <w:marLeft w:val="0"/>
      <w:marRight w:val="0"/>
      <w:marTop w:val="0"/>
      <w:marBottom w:val="0"/>
      <w:divBdr>
        <w:top w:val="none" w:sz="0" w:space="0" w:color="auto"/>
        <w:left w:val="none" w:sz="0" w:space="0" w:color="auto"/>
        <w:bottom w:val="none" w:sz="0" w:space="0" w:color="auto"/>
        <w:right w:val="none" w:sz="0" w:space="0" w:color="auto"/>
      </w:divBdr>
    </w:div>
    <w:div w:id="696545930">
      <w:bodyDiv w:val="1"/>
      <w:marLeft w:val="0"/>
      <w:marRight w:val="0"/>
      <w:marTop w:val="0"/>
      <w:marBottom w:val="0"/>
      <w:divBdr>
        <w:top w:val="none" w:sz="0" w:space="0" w:color="auto"/>
        <w:left w:val="none" w:sz="0" w:space="0" w:color="auto"/>
        <w:bottom w:val="none" w:sz="0" w:space="0" w:color="auto"/>
        <w:right w:val="none" w:sz="0" w:space="0" w:color="auto"/>
      </w:divBdr>
      <w:divsChild>
        <w:div w:id="1835604007">
          <w:marLeft w:val="0"/>
          <w:marRight w:val="0"/>
          <w:marTop w:val="0"/>
          <w:marBottom w:val="0"/>
          <w:divBdr>
            <w:top w:val="none" w:sz="0" w:space="0" w:color="auto"/>
            <w:left w:val="none" w:sz="0" w:space="0" w:color="auto"/>
            <w:bottom w:val="none" w:sz="0" w:space="0" w:color="auto"/>
            <w:right w:val="none" w:sz="0" w:space="0" w:color="auto"/>
          </w:divBdr>
          <w:divsChild>
            <w:div w:id="1492259037">
              <w:marLeft w:val="0"/>
              <w:marRight w:val="0"/>
              <w:marTop w:val="0"/>
              <w:marBottom w:val="0"/>
              <w:divBdr>
                <w:top w:val="none" w:sz="0" w:space="0" w:color="auto"/>
                <w:left w:val="none" w:sz="0" w:space="0" w:color="auto"/>
                <w:bottom w:val="none" w:sz="0" w:space="0" w:color="auto"/>
                <w:right w:val="none" w:sz="0" w:space="0" w:color="auto"/>
              </w:divBdr>
              <w:divsChild>
                <w:div w:id="1612394892">
                  <w:marLeft w:val="0"/>
                  <w:marRight w:val="0"/>
                  <w:marTop w:val="0"/>
                  <w:marBottom w:val="0"/>
                  <w:divBdr>
                    <w:top w:val="none" w:sz="0" w:space="0" w:color="auto"/>
                    <w:left w:val="none" w:sz="0" w:space="0" w:color="auto"/>
                    <w:bottom w:val="none" w:sz="0" w:space="0" w:color="auto"/>
                    <w:right w:val="none" w:sz="0" w:space="0" w:color="auto"/>
                  </w:divBdr>
                  <w:divsChild>
                    <w:div w:id="1999113296">
                      <w:marLeft w:val="0"/>
                      <w:marRight w:val="0"/>
                      <w:marTop w:val="0"/>
                      <w:marBottom w:val="0"/>
                      <w:divBdr>
                        <w:top w:val="none" w:sz="0" w:space="0" w:color="auto"/>
                        <w:left w:val="none" w:sz="0" w:space="0" w:color="auto"/>
                        <w:bottom w:val="none" w:sz="0" w:space="0" w:color="auto"/>
                        <w:right w:val="none" w:sz="0" w:space="0" w:color="auto"/>
                      </w:divBdr>
                      <w:divsChild>
                        <w:div w:id="7989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934402">
      <w:bodyDiv w:val="1"/>
      <w:marLeft w:val="0"/>
      <w:marRight w:val="0"/>
      <w:marTop w:val="0"/>
      <w:marBottom w:val="0"/>
      <w:divBdr>
        <w:top w:val="none" w:sz="0" w:space="0" w:color="auto"/>
        <w:left w:val="none" w:sz="0" w:space="0" w:color="auto"/>
        <w:bottom w:val="none" w:sz="0" w:space="0" w:color="auto"/>
        <w:right w:val="none" w:sz="0" w:space="0" w:color="auto"/>
      </w:divBdr>
    </w:div>
    <w:div w:id="1324746969">
      <w:bodyDiv w:val="1"/>
      <w:marLeft w:val="0"/>
      <w:marRight w:val="0"/>
      <w:marTop w:val="0"/>
      <w:marBottom w:val="0"/>
      <w:divBdr>
        <w:top w:val="none" w:sz="0" w:space="0" w:color="auto"/>
        <w:left w:val="none" w:sz="0" w:space="0" w:color="auto"/>
        <w:bottom w:val="none" w:sz="0" w:space="0" w:color="auto"/>
        <w:right w:val="none" w:sz="0" w:space="0" w:color="auto"/>
      </w:divBdr>
    </w:div>
    <w:div w:id="178738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bar-samenwerking.nl/bar"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A0AB7-E323-4EA5-BFD5-F3C0BB96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3051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BAR organisatie</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Vlasblom</dc:creator>
  <cp:keywords/>
  <dc:description/>
  <cp:lastModifiedBy>Peter Verbaas</cp:lastModifiedBy>
  <cp:revision>3</cp:revision>
  <cp:lastPrinted>2023-04-05T12:21:00Z</cp:lastPrinted>
  <dcterms:created xsi:type="dcterms:W3CDTF">2023-04-20T08:13:00Z</dcterms:created>
  <dcterms:modified xsi:type="dcterms:W3CDTF">2023-05-03T10:05:00Z</dcterms:modified>
</cp:coreProperties>
</file>