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14"/>
          <w:szCs w:val="14"/>
        </w:rPr>
      </w:pPr>
      <w:bookmarkStart w:colFirst="0" w:colLast="0" w:name="_2jfuz24dwi7n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Ind w:w="-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10"/>
        <w:gridCol w:w="5880"/>
        <w:gridCol w:w="1200"/>
        <w:gridCol w:w="1080"/>
        <w:tblGridChange w:id="0">
          <w:tblGrid>
            <w:gridCol w:w="810"/>
            <w:gridCol w:w="5880"/>
            <w:gridCol w:w="1200"/>
            <w:gridCol w:w="108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  <w:rtl w:val="0"/>
              </w:rPr>
              <w:t xml:space="preserve">Vraagstelling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  <w:rtl w:val="0"/>
              </w:rPr>
              <w:t xml:space="preserve">Beoordeling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  <w:rtl w:val="0"/>
              </w:rPr>
              <w:t xml:space="preserve">Maximaal te behalen waarde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3f6ca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16"/>
                <w:szCs w:val="16"/>
                <w:rtl w:val="0"/>
              </w:rPr>
              <w:t xml:space="preserve">Score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5.10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De inschrijver dient tevens aan te geven welk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vast opslagpercentage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(boven de inkoopprijs van de inschrijver)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voor werkplekapparatuur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zal worden gehanteerd gedurende de looptijd van de raamovereenkomst. Dit zal volgens onderstaande waardering worden gescoord: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0% = € 25.000,00 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8% =€ 0,00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Inschrijver dient in het percentage aan te geven met 1 cijfer achter de komma (bijvoorbeeld 0,8 of 2,3). Elke 0,1% is 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€ 312,50. Bij rato geeft dit bij een percentage van 1,5% een meerwaarde van €20.312,50 (€25.000,00 minus € 4.687,50).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€ 25.000,-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Zie tabel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5.11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De inschrijver dient tevens aan te geven welk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vast opslagpercentage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(boven de inkoopprijs van de inschrijver) 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u w:val="single"/>
                <w:rtl w:val="0"/>
              </w:rPr>
              <w:t xml:space="preserve">voor accessoires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 zal worden gehanteerd gedurende de looptijd van de raamovereenkomst. Dit zal volgens onderstaande waardering worden gescoord: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0% = € 20.000,00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8% =€ 0,00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Inschrijver dient in het percentage aan te geven met 1 cijfer achter de komma (bijvoorbeeld 0,8 of 2,3). Elke 0,1% is 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€ 250,00. Bij rato geeft dit bij een percentage van 1,5% een meerwaarde van € 16.250,00 (20.000,00 minus € 3.750,00).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€ 20.000,-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Zie tabel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5.12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De inschrijver dient aan te geven op welke wijze invulling wordt gegeven aan de productcatalogus. Vitus Zuid verwacht dat in de beantwoording minimaal aandacht wordt besteed aan: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Proces;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Wijze van actualiseren;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Communicatie met opdrachtgever.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7"/>
                <w:szCs w:val="17"/>
                <w:rtl w:val="0"/>
              </w:rPr>
              <w:t xml:space="preserve">Inschrijver dient de beantwoording op maximaal 2 A4 aan te leveren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€ 25.000,-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0 - 10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6.12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De inschrijver dient aan te geven op welke wijze invulling wordt gegeven aan de logistieke afhandeling. Vitus Zuid verwacht dat in de beantwoording minimaal aandacht wordt besteed aan: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Proces;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Foutieve leveringen en schade;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3"/>
              </w:numPr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Verwijderen data oude apparatuur;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3"/>
              </w:numPr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Communicatie met opdrachtgever en externe dienstverlener.</w:t>
            </w:r>
          </w:p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7"/>
                <w:szCs w:val="17"/>
                <w:rtl w:val="0"/>
              </w:rPr>
              <w:t xml:space="preserve">Inschrijver dient de beantwoording op maximaal 2 A4 aan te leveren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€ 75.000,-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0 -10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6.16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De inschrijver dient aan te geven op welke wijze invulling wordt gegeven aan de garantieafhandeling of reparatie. Vitus Zuid verwacht dat in de beantwoording minimaal aandacht wordt besteed aan: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5"/>
              </w:numPr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Proces;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5"/>
              </w:numPr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Kwaliteitsborging;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5"/>
              </w:numPr>
              <w:ind w:left="720" w:hanging="360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Communicatie met opdrachtgever en externe dienstverlener.</w:t>
            </w:r>
          </w:p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7"/>
                <w:szCs w:val="17"/>
                <w:rtl w:val="0"/>
              </w:rPr>
              <w:t xml:space="preserve">Inschrijver dient de beantwoording op maximaal 2 A4 aan te leveren</w:t>
            </w: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€ 50.000,-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0 - 10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Fonts w:ascii="Verdana" w:cs="Verdana" w:eastAsia="Verdana" w:hAnsi="Verdana"/>
                <w:sz w:val="17"/>
                <w:szCs w:val="17"/>
                <w:rtl w:val="0"/>
              </w:rPr>
              <w:t xml:space="preserve">Antwoord:</w:t>
            </w:r>
          </w:p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Style w:val="Heading3"/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2"/>
          <w:szCs w:val="22"/>
        </w:rPr>
      </w:pPr>
      <w:bookmarkStart w:colFirst="0" w:colLast="0" w:name="_hbmtxfef60u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4"/>
        <w:tabs>
          <w:tab w:val="left" w:leader="none" w:pos="704.9999999999999"/>
          <w:tab w:val="left" w:leader="none" w:pos="704.9999999999999"/>
          <w:tab w:val="left" w:leader="none" w:pos="704.9999999999999"/>
          <w:tab w:val="left" w:leader="none" w:pos="566.9291338582677"/>
        </w:tabs>
        <w:spacing w:before="0" w:line="276" w:lineRule="auto"/>
        <w:rPr>
          <w:rFonts w:ascii="Verdana" w:cs="Verdana" w:eastAsia="Verdana" w:hAnsi="Verdana"/>
          <w:i w:val="1"/>
          <w:color w:val="4f81bd"/>
          <w:sz w:val="20"/>
          <w:szCs w:val="20"/>
        </w:rPr>
      </w:pPr>
      <w:bookmarkStart w:colFirst="0" w:colLast="0" w:name="_pkwqa1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