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tabs>
          <w:tab w:val="left" w:pos="1700.787401574803"/>
          <w:tab w:val="left" w:pos="566.9291338582677"/>
        </w:tabs>
        <w:spacing w:after="0" w:before="0" w:line="480" w:lineRule="auto"/>
        <w:rPr>
          <w:rFonts w:ascii="Verdana" w:cs="Verdana" w:eastAsia="Verdana" w:hAnsi="Verdana"/>
          <w:color w:val="4f81bd"/>
          <w:sz w:val="28"/>
          <w:szCs w:val="28"/>
        </w:rPr>
      </w:pPr>
      <w:bookmarkStart w:colFirst="0" w:colLast="0" w:name="_argn8yzad7rc" w:id="0"/>
      <w:bookmarkEnd w:id="0"/>
      <w:r w:rsidDel="00000000" w:rsidR="00000000" w:rsidRPr="00000000">
        <w:rPr>
          <w:rFonts w:ascii="Verdana" w:cs="Verdana" w:eastAsia="Verdana" w:hAnsi="Verdana"/>
          <w:color w:val="4f81bd"/>
          <w:sz w:val="28"/>
          <w:szCs w:val="28"/>
          <w:rtl w:val="0"/>
        </w:rPr>
        <w:t xml:space="preserve">Bijlage D:</w:t>
        <w:tab/>
        <w:t xml:space="preserve">Prijsmodel</w:t>
      </w:r>
    </w:p>
    <w:p w:rsidR="00000000" w:rsidDel="00000000" w:rsidP="00000000" w:rsidRDefault="00000000" w:rsidRPr="00000000" w14:paraId="00000002">
      <w:pPr>
        <w:spacing w:line="276"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De inschrijver wordt verzocht ten aanzien van de op te leveren prijzen de lay-out van de volgende tabellen te hanteren. Alle prijzen dienen te worden opgevoerd in Euro’s en inclusief BTW.</w:t>
      </w:r>
    </w:p>
    <w:p w:rsidR="00000000" w:rsidDel="00000000" w:rsidP="00000000" w:rsidRDefault="00000000" w:rsidRPr="00000000" w14:paraId="00000003">
      <w:pPr>
        <w:spacing w:line="276"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Daarnaast dient de inschrijver een gespecificeerde en beargumenteerde offerte in te dienen voor alle benodigde licenties. Alle kosten die betrekking hebben op de contractduur dienen in de offerte inzichtelijk gemaakt te worden. Dat geldt voor de licentiekosten, maar ook voor eventuele kosten van de dienstverlening van de Inschrijver en andere gerelateerde of relevante kosten.</w:t>
      </w:r>
    </w:p>
    <w:p w:rsidR="00000000" w:rsidDel="00000000" w:rsidP="00000000" w:rsidRDefault="00000000" w:rsidRPr="00000000" w14:paraId="00000004">
      <w:pPr>
        <w:tabs>
          <w:tab w:val="left" w:pos="1700"/>
          <w:tab w:val="left" w:pos="566"/>
        </w:tabs>
        <w:spacing w:line="276"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05">
      <w:pPr>
        <w:tabs>
          <w:tab w:val="left" w:pos="1700"/>
          <w:tab w:val="left" w:pos="566"/>
        </w:tabs>
        <w:spacing w:line="276" w:lineRule="auto"/>
        <w:rPr>
          <w:rFonts w:ascii="Verdana" w:cs="Verdana" w:eastAsia="Verdana" w:hAnsi="Verdana"/>
          <w:b w:val="1"/>
          <w:color w:val="3d85c6"/>
          <w:sz w:val="18"/>
          <w:szCs w:val="18"/>
        </w:rPr>
      </w:pPr>
      <w:r w:rsidDel="00000000" w:rsidR="00000000" w:rsidRPr="00000000">
        <w:rPr>
          <w:rFonts w:ascii="Verdana" w:cs="Verdana" w:eastAsia="Verdana" w:hAnsi="Verdana"/>
          <w:b w:val="1"/>
          <w:color w:val="3d85c6"/>
          <w:sz w:val="18"/>
          <w:szCs w:val="18"/>
          <w:rtl w:val="0"/>
        </w:rPr>
        <w:t xml:space="preserve">Prijsoverzicht</w:t>
      </w:r>
    </w:p>
    <w:p w:rsidR="00000000" w:rsidDel="00000000" w:rsidP="00000000" w:rsidRDefault="00000000" w:rsidRPr="00000000" w14:paraId="00000006">
      <w:pPr>
        <w:tabs>
          <w:tab w:val="left" w:pos="1700"/>
          <w:tab w:val="left" w:pos="566"/>
        </w:tabs>
        <w:spacing w:line="276"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07">
      <w:pPr>
        <w:tabs>
          <w:tab w:val="left" w:pos="1700"/>
          <w:tab w:val="left" w:pos="566"/>
        </w:tabs>
        <w:spacing w:line="276"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De prijzen dienen te zijn gebaseerd op de genoemde type licenties en aantallen zoals opgevoerd in paragraaf 5.2 van de offerteaanvraag.</w:t>
      </w:r>
    </w:p>
    <w:p w:rsidR="00000000" w:rsidDel="00000000" w:rsidP="00000000" w:rsidRDefault="00000000" w:rsidRPr="00000000" w14:paraId="00000008">
      <w:pPr>
        <w:tabs>
          <w:tab w:val="left" w:pos="1700"/>
          <w:tab w:val="left" w:pos="566"/>
        </w:tabs>
        <w:spacing w:line="276" w:lineRule="auto"/>
        <w:rPr>
          <w:rFonts w:ascii="Verdana" w:cs="Verdana" w:eastAsia="Verdana" w:hAnsi="Verdana"/>
          <w:sz w:val="18"/>
          <w:szCs w:val="18"/>
        </w:rPr>
      </w:pPr>
      <w:r w:rsidDel="00000000" w:rsidR="00000000" w:rsidRPr="00000000">
        <w:rPr>
          <w:rtl w:val="0"/>
        </w:rPr>
      </w:r>
    </w:p>
    <w:tbl>
      <w:tblPr>
        <w:tblStyle w:val="Table1"/>
        <w:tblW w:w="9025.00000000000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947"/>
        <w:gridCol w:w="1273"/>
        <w:gridCol w:w="1272"/>
        <w:gridCol w:w="1272"/>
        <w:gridCol w:w="1261"/>
        <w:tblGridChange w:id="0">
          <w:tblGrid>
            <w:gridCol w:w="3947"/>
            <w:gridCol w:w="1273"/>
            <w:gridCol w:w="1272"/>
            <w:gridCol w:w="1272"/>
            <w:gridCol w:w="1261"/>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9">
            <w:pPr>
              <w:widowControl w:val="0"/>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Item</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0A">
            <w:pPr>
              <w:spacing w:line="240" w:lineRule="auto"/>
              <w:jc w:val="center"/>
              <w:rPr>
                <w:rFonts w:ascii="Verdana" w:cs="Verdana" w:eastAsia="Verdana" w:hAnsi="Verdana"/>
                <w:b w:val="1"/>
                <w:sz w:val="15"/>
                <w:szCs w:val="15"/>
              </w:rPr>
            </w:pPr>
            <w:r w:rsidDel="00000000" w:rsidR="00000000" w:rsidRPr="00000000">
              <w:rPr>
                <w:rFonts w:ascii="Verdana" w:cs="Verdana" w:eastAsia="Verdana" w:hAnsi="Verdana"/>
                <w:b w:val="1"/>
                <w:sz w:val="15"/>
                <w:szCs w:val="15"/>
                <w:rtl w:val="0"/>
              </w:rPr>
              <w:t xml:space="preserve">Prijs 2023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0B">
            <w:pPr>
              <w:spacing w:line="240" w:lineRule="auto"/>
              <w:jc w:val="center"/>
              <w:rPr>
                <w:rFonts w:ascii="Verdana" w:cs="Verdana" w:eastAsia="Verdana" w:hAnsi="Verdana"/>
                <w:b w:val="1"/>
                <w:sz w:val="15"/>
                <w:szCs w:val="15"/>
              </w:rPr>
            </w:pPr>
            <w:r w:rsidDel="00000000" w:rsidR="00000000" w:rsidRPr="00000000">
              <w:rPr>
                <w:rFonts w:ascii="Verdana" w:cs="Verdana" w:eastAsia="Verdana" w:hAnsi="Verdana"/>
                <w:b w:val="1"/>
                <w:sz w:val="15"/>
                <w:szCs w:val="15"/>
                <w:rtl w:val="0"/>
              </w:rPr>
              <w:t xml:space="preserve">Prijs 2024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0C">
            <w:pPr>
              <w:spacing w:line="240" w:lineRule="auto"/>
              <w:jc w:val="center"/>
              <w:rPr>
                <w:rFonts w:ascii="Verdana" w:cs="Verdana" w:eastAsia="Verdana" w:hAnsi="Verdana"/>
                <w:sz w:val="16"/>
                <w:szCs w:val="16"/>
              </w:rPr>
            </w:pPr>
            <w:r w:rsidDel="00000000" w:rsidR="00000000" w:rsidRPr="00000000">
              <w:rPr>
                <w:rFonts w:ascii="Verdana" w:cs="Verdana" w:eastAsia="Verdana" w:hAnsi="Verdana"/>
                <w:b w:val="1"/>
                <w:sz w:val="15"/>
                <w:szCs w:val="15"/>
                <w:rtl w:val="0"/>
              </w:rPr>
              <w:t xml:space="preserve">Prijs 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0D">
            <w:pPr>
              <w:spacing w:line="240" w:lineRule="auto"/>
              <w:jc w:val="center"/>
              <w:rPr>
                <w:rFonts w:ascii="Verdana" w:cs="Verdana" w:eastAsia="Verdana" w:hAnsi="Verdana"/>
                <w:b w:val="1"/>
                <w:sz w:val="15"/>
                <w:szCs w:val="15"/>
              </w:rPr>
            </w:pPr>
            <w:r w:rsidDel="00000000" w:rsidR="00000000" w:rsidRPr="00000000">
              <w:rPr>
                <w:rFonts w:ascii="Verdana" w:cs="Verdana" w:eastAsia="Verdana" w:hAnsi="Verdana"/>
                <w:b w:val="1"/>
                <w:sz w:val="15"/>
                <w:szCs w:val="15"/>
                <w:rtl w:val="0"/>
              </w:rPr>
              <w:t xml:space="preserve">Totaal</w:t>
            </w:r>
          </w:p>
          <w:p w:rsidR="00000000" w:rsidDel="00000000" w:rsidP="00000000" w:rsidRDefault="00000000" w:rsidRPr="00000000" w14:paraId="0000000E">
            <w:pPr>
              <w:spacing w:line="240" w:lineRule="auto"/>
              <w:jc w:val="center"/>
              <w:rPr>
                <w:rFonts w:ascii="Verdana" w:cs="Verdana" w:eastAsia="Verdana" w:hAnsi="Verdana"/>
                <w:b w:val="1"/>
                <w:sz w:val="15"/>
                <w:szCs w:val="15"/>
              </w:rPr>
            </w:pPr>
            <w:r w:rsidDel="00000000" w:rsidR="00000000" w:rsidRPr="00000000">
              <w:rPr>
                <w:rFonts w:ascii="Verdana" w:cs="Verdana" w:eastAsia="Verdana" w:hAnsi="Verdana"/>
                <w:b w:val="1"/>
                <w:sz w:val="15"/>
                <w:szCs w:val="15"/>
                <w:rtl w:val="0"/>
              </w:rPr>
              <w:t xml:space="preserve">voor drie (3) jaar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F">
            <w:pPr>
              <w:widowControl w:val="0"/>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Adobe licenties </w:t>
            </w:r>
          </w:p>
        </w:tc>
        <w:tc>
          <w:tcPr>
            <w:shd w:fill="auto" w:val="clear"/>
            <w:tcMar>
              <w:top w:w="100.0" w:type="dxa"/>
              <w:left w:w="100.0" w:type="dxa"/>
              <w:bottom w:w="100.0" w:type="dxa"/>
              <w:right w:w="100.0" w:type="dxa"/>
            </w:tcMar>
          </w:tcPr>
          <w:p w:rsidR="00000000" w:rsidDel="00000000" w:rsidP="00000000" w:rsidRDefault="00000000" w:rsidRPr="00000000" w14:paraId="00000010">
            <w:pPr>
              <w:widowControl w:val="0"/>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11">
            <w:pPr>
              <w:widowControl w:val="0"/>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12">
            <w:pPr>
              <w:widowControl w:val="0"/>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13">
            <w:pPr>
              <w:widowControl w:val="0"/>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4">
            <w:pPr>
              <w:widowControl w:val="0"/>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Microsoft licenties</w:t>
            </w:r>
          </w:p>
        </w:tc>
        <w:tc>
          <w:tcPr>
            <w:shd w:fill="auto" w:val="clear"/>
            <w:tcMar>
              <w:top w:w="100.0" w:type="dxa"/>
              <w:left w:w="100.0" w:type="dxa"/>
              <w:bottom w:w="100.0" w:type="dxa"/>
              <w:right w:w="100.0" w:type="dxa"/>
            </w:tcMar>
          </w:tcPr>
          <w:p w:rsidR="00000000" w:rsidDel="00000000" w:rsidP="00000000" w:rsidRDefault="00000000" w:rsidRPr="00000000" w14:paraId="00000015">
            <w:pPr>
              <w:widowControl w:val="0"/>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16">
            <w:pPr>
              <w:widowControl w:val="0"/>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17">
            <w:pPr>
              <w:widowControl w:val="0"/>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18">
            <w:pPr>
              <w:widowControl w:val="0"/>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9">
            <w:pPr>
              <w:widowControl w:val="0"/>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VMware licenties</w:t>
            </w:r>
          </w:p>
        </w:tc>
        <w:tc>
          <w:tcPr>
            <w:shd w:fill="auto" w:val="clear"/>
            <w:tcMar>
              <w:top w:w="100.0" w:type="dxa"/>
              <w:left w:w="100.0" w:type="dxa"/>
              <w:bottom w:w="100.0" w:type="dxa"/>
              <w:right w:w="100.0" w:type="dxa"/>
            </w:tcMar>
          </w:tcPr>
          <w:p w:rsidR="00000000" w:rsidDel="00000000" w:rsidP="00000000" w:rsidRDefault="00000000" w:rsidRPr="00000000" w14:paraId="0000001A">
            <w:pPr>
              <w:widowControl w:val="0"/>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1B">
            <w:pPr>
              <w:widowControl w:val="0"/>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1C">
            <w:pPr>
              <w:widowControl w:val="0"/>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1D">
            <w:pPr>
              <w:widowControl w:val="0"/>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w:t>
            </w:r>
          </w:p>
        </w:tc>
      </w:tr>
      <w:tr>
        <w:trPr>
          <w:cantSplit w:val="0"/>
          <w:trHeight w:val="340" w:hRule="atLeast"/>
          <w:tblHeader w:val="0"/>
        </w:trPr>
        <w:tc>
          <w:tcPr>
            <w:gridSpan w:val="4"/>
            <w:shd w:fill="auto" w:val="clear"/>
            <w:tcMar>
              <w:top w:w="100.0" w:type="dxa"/>
              <w:left w:w="100.0" w:type="dxa"/>
              <w:bottom w:w="100.0" w:type="dxa"/>
              <w:right w:w="100.0" w:type="dxa"/>
            </w:tcMar>
          </w:tcPr>
          <w:p w:rsidR="00000000" w:rsidDel="00000000" w:rsidP="00000000" w:rsidRDefault="00000000" w:rsidRPr="00000000" w14:paraId="0000001E">
            <w:pPr>
              <w:widowControl w:val="0"/>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Overige kosten dienstverlening</w:t>
            </w:r>
          </w:p>
        </w:tc>
        <w:tc>
          <w:tcPr>
            <w:shd w:fill="auto" w:val="clear"/>
            <w:tcMar>
              <w:top w:w="100.0" w:type="dxa"/>
              <w:left w:w="100.0" w:type="dxa"/>
              <w:bottom w:w="100.0" w:type="dxa"/>
              <w:right w:w="100.0" w:type="dxa"/>
            </w:tcMar>
          </w:tcPr>
          <w:p w:rsidR="00000000" w:rsidDel="00000000" w:rsidP="00000000" w:rsidRDefault="00000000" w:rsidRPr="00000000" w14:paraId="00000022">
            <w:pPr>
              <w:widowControl w:val="0"/>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w:t>
            </w:r>
          </w:p>
        </w:tc>
      </w:tr>
      <w:tr>
        <w:trPr>
          <w:cantSplit w:val="0"/>
          <w:trHeight w:val="360" w:hRule="atLeast"/>
          <w:tblHeader w:val="0"/>
        </w:trPr>
        <w:tc>
          <w:tcPr>
            <w:gridSpan w:val="5"/>
            <w:shd w:fill="3d85c6" w:val="clear"/>
            <w:tcMar>
              <w:top w:w="100.0" w:type="dxa"/>
              <w:left w:w="100.0" w:type="dxa"/>
              <w:bottom w:w="100.0" w:type="dxa"/>
              <w:right w:w="100.0" w:type="dxa"/>
            </w:tcMar>
          </w:tcPr>
          <w:p w:rsidR="00000000" w:rsidDel="00000000" w:rsidP="00000000" w:rsidRDefault="00000000" w:rsidRPr="00000000" w14:paraId="00000023">
            <w:pPr>
              <w:widowControl w:val="0"/>
              <w:spacing w:line="240" w:lineRule="auto"/>
              <w:rPr>
                <w:rFonts w:ascii="Verdana" w:cs="Verdana" w:eastAsia="Verdana" w:hAnsi="Verdana"/>
                <w:sz w:val="16"/>
                <w:szCs w:val="16"/>
              </w:rPr>
            </w:pPr>
            <w:r w:rsidDel="00000000" w:rsidR="00000000" w:rsidRPr="00000000">
              <w:rPr>
                <w:rtl w:val="0"/>
              </w:rPr>
            </w:r>
          </w:p>
        </w:tc>
      </w:tr>
      <w:tr>
        <w:trPr>
          <w:cantSplit w:val="0"/>
          <w:trHeight w:val="340" w:hRule="atLeast"/>
          <w:tblHeader w:val="0"/>
        </w:trPr>
        <w:tc>
          <w:tcPr>
            <w:gridSpan w:val="4"/>
            <w:shd w:fill="auto" w:val="clear"/>
            <w:tcMar>
              <w:top w:w="100.0" w:type="dxa"/>
              <w:left w:w="100.0" w:type="dxa"/>
              <w:bottom w:w="100.0" w:type="dxa"/>
              <w:right w:w="100.0" w:type="dxa"/>
            </w:tcMar>
          </w:tcPr>
          <w:p w:rsidR="00000000" w:rsidDel="00000000" w:rsidP="00000000" w:rsidRDefault="00000000" w:rsidRPr="00000000" w14:paraId="00000028">
            <w:pPr>
              <w:widowControl w:val="0"/>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Totaal</w:t>
            </w:r>
          </w:p>
        </w:tc>
        <w:tc>
          <w:tcPr>
            <w:shd w:fill="auto" w:val="clear"/>
            <w:tcMar>
              <w:top w:w="100.0" w:type="dxa"/>
              <w:left w:w="100.0" w:type="dxa"/>
              <w:bottom w:w="100.0" w:type="dxa"/>
              <w:right w:w="100.0" w:type="dxa"/>
            </w:tcMar>
          </w:tcPr>
          <w:p w:rsidR="00000000" w:rsidDel="00000000" w:rsidP="00000000" w:rsidRDefault="00000000" w:rsidRPr="00000000" w14:paraId="0000002C">
            <w:pPr>
              <w:widowControl w:val="0"/>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w:t>
            </w:r>
          </w:p>
        </w:tc>
      </w:tr>
    </w:tbl>
    <w:p w:rsidR="00000000" w:rsidDel="00000000" w:rsidP="00000000" w:rsidRDefault="00000000" w:rsidRPr="00000000" w14:paraId="0000002D">
      <w:pPr>
        <w:tabs>
          <w:tab w:val="left" w:pos="1700"/>
          <w:tab w:val="left" w:pos="566"/>
        </w:tabs>
        <w:spacing w:line="276"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2E">
      <w:pPr>
        <w:tabs>
          <w:tab w:val="left" w:pos="1700"/>
          <w:tab w:val="left" w:pos="566"/>
        </w:tabs>
        <w:spacing w:line="276"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Feitelijk is de Prijs dus het bedrag dat hierboven door u wordt ingevuld in de rubriek ‘Totaal’.</w:t>
      </w:r>
    </w:p>
    <w:p w:rsidR="00000000" w:rsidDel="00000000" w:rsidP="00000000" w:rsidRDefault="00000000" w:rsidRPr="00000000" w14:paraId="0000002F">
      <w:pPr>
        <w:tabs>
          <w:tab w:val="left" w:pos="1700"/>
          <w:tab w:val="left" w:pos="566"/>
        </w:tabs>
        <w:spacing w:line="276"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30">
      <w:pPr>
        <w:tabs>
          <w:tab w:val="left" w:pos="1700"/>
          <w:tab w:val="left" w:pos="566"/>
        </w:tabs>
        <w:spacing w:line="276" w:lineRule="auto"/>
        <w:rPr>
          <w:rFonts w:ascii="Verdana" w:cs="Verdana" w:eastAsia="Verdana" w:hAnsi="Verdana"/>
          <w:sz w:val="18"/>
          <w:szCs w:val="18"/>
        </w:rPr>
      </w:pPr>
      <w:r w:rsidDel="00000000" w:rsidR="00000000" w:rsidRPr="00000000">
        <w:rPr>
          <w:rFonts w:ascii="Verdana" w:cs="Verdana" w:eastAsia="Verdana" w:hAnsi="Verdana"/>
          <w:b w:val="1"/>
          <w:color w:val="3d85c6"/>
          <w:sz w:val="18"/>
          <w:szCs w:val="18"/>
          <w:rtl w:val="0"/>
        </w:rPr>
        <w:t xml:space="preserve">Opslagpercentage</w:t>
      </w:r>
      <w:r w:rsidDel="00000000" w:rsidR="00000000" w:rsidRPr="00000000">
        <w:rPr>
          <w:rtl w:val="0"/>
        </w:rPr>
      </w:r>
    </w:p>
    <w:p w:rsidR="00000000" w:rsidDel="00000000" w:rsidP="00000000" w:rsidRDefault="00000000" w:rsidRPr="00000000" w14:paraId="00000031">
      <w:pPr>
        <w:tabs>
          <w:tab w:val="left" w:pos="1700"/>
          <w:tab w:val="left" w:pos="566"/>
        </w:tabs>
        <w:spacing w:line="276"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De inschrijver dient daarnaast aan te geven welk opslagpercentage wordt gebruikt om de productprijzen voor gemeente ’s-Hertogenbosch te bepalen.</w:t>
      </w:r>
    </w:p>
    <w:p w:rsidR="00000000" w:rsidDel="00000000" w:rsidP="00000000" w:rsidRDefault="00000000" w:rsidRPr="00000000" w14:paraId="00000032">
      <w:pPr>
        <w:tabs>
          <w:tab w:val="left" w:pos="1700"/>
          <w:tab w:val="left" w:pos="566"/>
        </w:tabs>
        <w:spacing w:line="276" w:lineRule="auto"/>
        <w:rPr>
          <w:rFonts w:ascii="Verdana" w:cs="Verdana" w:eastAsia="Verdana" w:hAnsi="Verdana"/>
          <w:sz w:val="18"/>
          <w:szCs w:val="18"/>
        </w:rPr>
      </w:pPr>
      <w:r w:rsidDel="00000000" w:rsidR="00000000" w:rsidRPr="00000000">
        <w:rPr>
          <w:rtl w:val="0"/>
        </w:rPr>
      </w:r>
    </w:p>
    <w:tbl>
      <w:tblPr>
        <w:tblStyle w:val="Table2"/>
        <w:tblW w:w="934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00"/>
        <w:gridCol w:w="4149"/>
        <w:tblGridChange w:id="0">
          <w:tblGrid>
            <w:gridCol w:w="5200"/>
            <w:gridCol w:w="4149"/>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3">
            <w:pPr>
              <w:widowControl w:val="0"/>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Item</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34">
            <w:pPr>
              <w:spacing w:line="240" w:lineRule="auto"/>
              <w:jc w:val="center"/>
              <w:rPr>
                <w:rFonts w:ascii="Verdana" w:cs="Verdana" w:eastAsia="Verdana" w:hAnsi="Verdana"/>
                <w:b w:val="1"/>
                <w:sz w:val="16"/>
                <w:szCs w:val="16"/>
              </w:rPr>
            </w:pPr>
            <w:r w:rsidDel="00000000" w:rsidR="00000000" w:rsidRPr="00000000">
              <w:rPr>
                <w:rFonts w:ascii="Verdana" w:cs="Verdana" w:eastAsia="Verdana" w:hAnsi="Verdana"/>
                <w:b w:val="1"/>
                <w:sz w:val="16"/>
                <w:szCs w:val="16"/>
                <w:rtl w:val="0"/>
              </w:rPr>
              <w:t xml:space="preserve">opslag</w:t>
            </w:r>
          </w:p>
          <w:p w:rsidR="00000000" w:rsidDel="00000000" w:rsidP="00000000" w:rsidRDefault="00000000" w:rsidRPr="00000000" w14:paraId="00000035">
            <w:pPr>
              <w:spacing w:line="240" w:lineRule="auto"/>
              <w:jc w:val="center"/>
              <w:rPr>
                <w:rFonts w:ascii="Verdana" w:cs="Verdana" w:eastAsia="Verdana" w:hAnsi="Verdana"/>
                <w:sz w:val="12"/>
                <w:szCs w:val="12"/>
              </w:rPr>
            </w:pPr>
            <w:r w:rsidDel="00000000" w:rsidR="00000000" w:rsidRPr="00000000">
              <w:rPr>
                <w:rFonts w:ascii="Verdana" w:cs="Verdana" w:eastAsia="Verdana" w:hAnsi="Verdana"/>
                <w:b w:val="1"/>
                <w:sz w:val="16"/>
                <w:szCs w:val="16"/>
                <w:rtl w:val="0"/>
              </w:rPr>
              <w:t xml:space="preserve">percentage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6">
            <w:pPr>
              <w:widowControl w:val="0"/>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Adobe licenties</w:t>
            </w:r>
          </w:p>
        </w:tc>
        <w:tc>
          <w:tcPr>
            <w:shd w:fill="auto" w:val="clear"/>
            <w:tcMar>
              <w:top w:w="100.0" w:type="dxa"/>
              <w:left w:w="100.0" w:type="dxa"/>
              <w:bottom w:w="100.0" w:type="dxa"/>
              <w:right w:w="100.0" w:type="dxa"/>
            </w:tcMar>
          </w:tcPr>
          <w:p w:rsidR="00000000" w:rsidDel="00000000" w:rsidP="00000000" w:rsidRDefault="00000000" w:rsidRPr="00000000" w14:paraId="00000037">
            <w:pPr>
              <w:widowControl w:val="0"/>
              <w:spacing w:line="240" w:lineRule="auto"/>
              <w:rPr>
                <w:rFonts w:ascii="Verdana" w:cs="Verdana" w:eastAsia="Verdana" w:hAnsi="Verdana"/>
                <w:sz w:val="16"/>
                <w:szCs w:val="1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8">
            <w:pPr>
              <w:widowControl w:val="0"/>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Microsoft licenties</w:t>
            </w:r>
          </w:p>
        </w:tc>
        <w:tc>
          <w:tcPr>
            <w:shd w:fill="auto" w:val="clear"/>
            <w:tcMar>
              <w:top w:w="100.0" w:type="dxa"/>
              <w:left w:w="100.0" w:type="dxa"/>
              <w:bottom w:w="100.0" w:type="dxa"/>
              <w:right w:w="100.0" w:type="dxa"/>
            </w:tcMar>
          </w:tcPr>
          <w:p w:rsidR="00000000" w:rsidDel="00000000" w:rsidP="00000000" w:rsidRDefault="00000000" w:rsidRPr="00000000" w14:paraId="00000039">
            <w:pPr>
              <w:widowControl w:val="0"/>
              <w:spacing w:line="240" w:lineRule="auto"/>
              <w:rPr>
                <w:rFonts w:ascii="Verdana" w:cs="Verdana" w:eastAsia="Verdana" w:hAnsi="Verdana"/>
                <w:sz w:val="16"/>
                <w:szCs w:val="1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A">
            <w:pPr>
              <w:widowControl w:val="0"/>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VMware licenties</w:t>
            </w:r>
          </w:p>
        </w:tc>
        <w:tc>
          <w:tcPr>
            <w:shd w:fill="auto" w:val="clear"/>
            <w:tcMar>
              <w:top w:w="100.0" w:type="dxa"/>
              <w:left w:w="100.0" w:type="dxa"/>
              <w:bottom w:w="100.0" w:type="dxa"/>
              <w:right w:w="100.0" w:type="dxa"/>
            </w:tcMar>
          </w:tcPr>
          <w:p w:rsidR="00000000" w:rsidDel="00000000" w:rsidP="00000000" w:rsidRDefault="00000000" w:rsidRPr="00000000" w14:paraId="0000003B">
            <w:pPr>
              <w:widowControl w:val="0"/>
              <w:spacing w:line="240" w:lineRule="auto"/>
              <w:rPr>
                <w:rFonts w:ascii="Verdana" w:cs="Verdana" w:eastAsia="Verdana" w:hAnsi="Verdana"/>
                <w:sz w:val="16"/>
                <w:szCs w:val="16"/>
              </w:rPr>
            </w:pPr>
            <w:r w:rsidDel="00000000" w:rsidR="00000000" w:rsidRPr="00000000">
              <w:rPr>
                <w:rtl w:val="0"/>
              </w:rPr>
            </w:r>
          </w:p>
        </w:tc>
      </w:tr>
    </w:tbl>
    <w:p w:rsidR="00000000" w:rsidDel="00000000" w:rsidP="00000000" w:rsidRDefault="00000000" w:rsidRPr="00000000" w14:paraId="0000003C">
      <w:pPr>
        <w:tabs>
          <w:tab w:val="left" w:pos="1700"/>
          <w:tab w:val="left" w:pos="566"/>
        </w:tabs>
        <w:spacing w:line="276"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3D">
      <w:pPr>
        <w:tabs>
          <w:tab w:val="left" w:pos="1700"/>
          <w:tab w:val="left" w:pos="566"/>
        </w:tabs>
        <w:spacing w:line="276"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Het opslagpercentage is het percentage dat u boven uw eigen inkoopprijs aan gemeente ’s-Hertogenbosch doorberekent. </w:t>
      </w:r>
    </w:p>
    <w:p w:rsidR="00000000" w:rsidDel="00000000" w:rsidP="00000000" w:rsidRDefault="00000000" w:rsidRPr="00000000" w14:paraId="0000003E">
      <w:pPr>
        <w:tabs>
          <w:tab w:val="left" w:pos="1700"/>
          <w:tab w:val="left" w:pos="566"/>
        </w:tabs>
        <w:spacing w:line="276"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Tijdens de uitvoering van de overeenkomst berekent u uitsluitend de inkoopprijzen aan gemeente ’s-Hertogenbosch door, vermeerderd met het genoemde opslagpercentage. </w:t>
      </w:r>
    </w:p>
    <w:p w:rsidR="00000000" w:rsidDel="00000000" w:rsidP="00000000" w:rsidRDefault="00000000" w:rsidRPr="00000000" w14:paraId="0000003F">
      <w:pPr>
        <w:tabs>
          <w:tab w:val="left" w:pos="1700"/>
          <w:tab w:val="left" w:pos="566"/>
        </w:tabs>
        <w:spacing w:line="276"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Het opgegeven opslagpercentage dat wordt toegepast bij de berekening van het totaalbedrag dient gelijk te zijn aan het opslagpercentage dat wordt gebruikt gedurende de looptijd van de overeenkomst.</w:t>
      </w:r>
    </w:p>
    <w:p w:rsidR="00000000" w:rsidDel="00000000" w:rsidP="00000000" w:rsidRDefault="00000000" w:rsidRPr="00000000" w14:paraId="00000040">
      <w:pPr>
        <w:tabs>
          <w:tab w:val="left" w:pos="1700"/>
          <w:tab w:val="left" w:pos="566"/>
        </w:tabs>
        <w:spacing w:line="276"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Gemeente ‘s-Hertogenbosch behoudt zich het recht voor om audits uit (te laten) voeren om de toepassing van de opslagpercentages op uw inkoopprijzen te toetsen. De wijze waarop deze audits worden uitgevoerd wordt na gunning in gezamenlijk overleg bepaald.</w:t>
      </w:r>
    </w:p>
    <w:p w:rsidR="00000000" w:rsidDel="00000000" w:rsidP="00000000" w:rsidRDefault="00000000" w:rsidRPr="00000000" w14:paraId="00000041">
      <w:pPr>
        <w:tabs>
          <w:tab w:val="left" w:pos="1700"/>
          <w:tab w:val="left" w:pos="566"/>
        </w:tabs>
        <w:spacing w:line="276"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42">
      <w:pPr>
        <w:tabs>
          <w:tab w:val="left" w:pos="1700"/>
          <w:tab w:val="left" w:pos="566"/>
        </w:tabs>
        <w:spacing w:line="276"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Genoemde uitgangswaarden zijn weliswaar representatief voor de verwachte afname van producten tijdens looptijd van de overeenkomst maar verder uitsluitend indicatief. De inschrijver kan hier op geen enkele wijze rechten aan ontlenen.</w:t>
      </w:r>
      <w:r w:rsidDel="00000000" w:rsidR="00000000" w:rsidRPr="00000000">
        <w:rPr>
          <w:rtl w:val="0"/>
        </w:rPr>
      </w:r>
    </w:p>
    <w:p w:rsidR="00000000" w:rsidDel="00000000" w:rsidP="00000000" w:rsidRDefault="00000000" w:rsidRPr="00000000" w14:paraId="00000043">
      <w:pPr>
        <w:tabs>
          <w:tab w:val="left" w:pos="1700.787401574803"/>
          <w:tab w:val="left" w:pos="566.9291338582677"/>
        </w:tabs>
        <w:rPr>
          <w:rFonts w:ascii="Verdana" w:cs="Verdana" w:eastAsia="Verdana" w:hAnsi="Verdana"/>
          <w:sz w:val="18"/>
          <w:szCs w:val="18"/>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