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4D4354">
          <w:pPr>
            <w:pStyle w:val="Inhopg1"/>
            <w:rPr>
              <w:rFonts w:asciiTheme="minorHAnsi" w:eastAsiaTheme="minorEastAsia" w:hAnsiTheme="minorHAnsi" w:cstheme="minorBidi"/>
              <w:bCs w:val="0"/>
              <w:noProof/>
              <w:color w:val="auto"/>
              <w:sz w:val="22"/>
              <w:szCs w:val="22"/>
            </w:rPr>
          </w:pPr>
          <w:hyperlink w:anchor="_Toc99476056" w:history="1">
            <w:r w:rsidR="00BE5D91" w:rsidRPr="0056029C">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14:paraId="51A04ECD" w14:textId="44C37FCA" w:rsidR="00BE5D91" w:rsidRDefault="004D4354">
          <w:pPr>
            <w:pStyle w:val="Inhopg1"/>
            <w:rPr>
              <w:rFonts w:asciiTheme="minorHAnsi" w:eastAsiaTheme="minorEastAsia" w:hAnsiTheme="minorHAnsi" w:cstheme="minorBidi"/>
              <w:bCs w:val="0"/>
              <w:noProof/>
              <w:color w:val="auto"/>
              <w:sz w:val="22"/>
              <w:szCs w:val="22"/>
            </w:rPr>
          </w:pPr>
          <w:hyperlink w:anchor="_Toc99476057" w:history="1">
            <w:r w:rsidR="00BE5D91" w:rsidRPr="0056029C">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0DFBFBDF" w14:textId="40225F6C" w:rsidR="00BE5D91" w:rsidRDefault="004D4354">
          <w:pPr>
            <w:pStyle w:val="Inhopg1"/>
            <w:rPr>
              <w:rFonts w:asciiTheme="minorHAnsi" w:eastAsiaTheme="minorEastAsia" w:hAnsiTheme="minorHAnsi" w:cstheme="minorBidi"/>
              <w:bCs w:val="0"/>
              <w:noProof/>
              <w:color w:val="auto"/>
              <w:sz w:val="22"/>
              <w:szCs w:val="22"/>
            </w:rPr>
          </w:pPr>
          <w:hyperlink w:anchor="_Toc99476058" w:history="1">
            <w:r w:rsidR="00BE5D91" w:rsidRPr="0056029C">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16FA54FC" w14:textId="2B4BE06E" w:rsidR="00BE5D91" w:rsidRDefault="004D4354">
          <w:pPr>
            <w:pStyle w:val="Inhopg1"/>
            <w:rPr>
              <w:rFonts w:asciiTheme="minorHAnsi" w:eastAsiaTheme="minorEastAsia" w:hAnsiTheme="minorHAnsi" w:cstheme="minorBidi"/>
              <w:bCs w:val="0"/>
              <w:noProof/>
              <w:color w:val="auto"/>
              <w:sz w:val="22"/>
              <w:szCs w:val="22"/>
            </w:rPr>
          </w:pPr>
          <w:hyperlink w:anchor="_Toc99476059" w:history="1">
            <w:r w:rsidR="00BE5D91" w:rsidRPr="0056029C">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1C9AF927" w14:textId="5A678AD9" w:rsidR="00BE5D91" w:rsidRDefault="004D4354">
          <w:pPr>
            <w:pStyle w:val="Inhopg1"/>
            <w:rPr>
              <w:rFonts w:asciiTheme="minorHAnsi" w:eastAsiaTheme="minorEastAsia" w:hAnsiTheme="minorHAnsi" w:cstheme="minorBidi"/>
              <w:bCs w:val="0"/>
              <w:noProof/>
              <w:color w:val="auto"/>
              <w:sz w:val="22"/>
              <w:szCs w:val="22"/>
            </w:rPr>
          </w:pPr>
          <w:hyperlink w:anchor="_Toc99476060" w:history="1">
            <w:r w:rsidR="00BE5D91" w:rsidRPr="0056029C">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00550A17" w14:textId="392511BB" w:rsidR="00BE5D91" w:rsidRDefault="004D4354">
          <w:pPr>
            <w:pStyle w:val="Inhopg1"/>
            <w:rPr>
              <w:rFonts w:asciiTheme="minorHAnsi" w:eastAsiaTheme="minorEastAsia" w:hAnsiTheme="minorHAnsi" w:cstheme="minorBidi"/>
              <w:bCs w:val="0"/>
              <w:noProof/>
              <w:color w:val="auto"/>
              <w:sz w:val="22"/>
              <w:szCs w:val="22"/>
            </w:rPr>
          </w:pPr>
          <w:hyperlink w:anchor="_Toc99476061" w:history="1">
            <w:r w:rsidR="00BE5D91" w:rsidRPr="0056029C">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970BB51" w14:textId="49677F05" w:rsidR="00BE5D91" w:rsidRDefault="004D4354">
          <w:pPr>
            <w:pStyle w:val="Inhopg1"/>
            <w:rPr>
              <w:rFonts w:asciiTheme="minorHAnsi" w:eastAsiaTheme="minorEastAsia" w:hAnsiTheme="minorHAnsi" w:cstheme="minorBidi"/>
              <w:bCs w:val="0"/>
              <w:noProof/>
              <w:color w:val="auto"/>
              <w:sz w:val="22"/>
              <w:szCs w:val="22"/>
            </w:rPr>
          </w:pPr>
          <w:hyperlink w:anchor="_Toc99476062" w:history="1">
            <w:r w:rsidR="00BE5D91" w:rsidRPr="0056029C">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4CEFDA6" w14:textId="76AF0902" w:rsidR="00BE5D91" w:rsidRDefault="004D4354">
          <w:pPr>
            <w:pStyle w:val="Inhopg1"/>
            <w:rPr>
              <w:rFonts w:asciiTheme="minorHAnsi" w:eastAsiaTheme="minorEastAsia" w:hAnsiTheme="minorHAnsi" w:cstheme="minorBidi"/>
              <w:bCs w:val="0"/>
              <w:noProof/>
              <w:color w:val="auto"/>
              <w:sz w:val="22"/>
              <w:szCs w:val="22"/>
            </w:rPr>
          </w:pPr>
          <w:hyperlink w:anchor="_Toc99476063" w:history="1">
            <w:r w:rsidR="00BE5D91" w:rsidRPr="0056029C">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14:paraId="23E5AEC2" w14:textId="7679913B" w:rsidR="00BE5D91" w:rsidRDefault="004D4354">
          <w:pPr>
            <w:pStyle w:val="Inhopg1"/>
            <w:rPr>
              <w:rFonts w:asciiTheme="minorHAnsi" w:eastAsiaTheme="minorEastAsia" w:hAnsiTheme="minorHAnsi" w:cstheme="minorBidi"/>
              <w:bCs w:val="0"/>
              <w:noProof/>
              <w:color w:val="auto"/>
              <w:sz w:val="22"/>
              <w:szCs w:val="22"/>
            </w:rPr>
          </w:pPr>
          <w:hyperlink w:anchor="_Toc99476064" w:history="1">
            <w:r w:rsidR="00BE5D91" w:rsidRPr="0056029C">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14:paraId="3D6E2011" w14:textId="443C10CD" w:rsidR="00BE5D91" w:rsidRDefault="004D4354">
          <w:pPr>
            <w:pStyle w:val="Inhopg1"/>
            <w:rPr>
              <w:rFonts w:asciiTheme="minorHAnsi" w:eastAsiaTheme="minorEastAsia" w:hAnsiTheme="minorHAnsi" w:cstheme="minorBidi"/>
              <w:bCs w:val="0"/>
              <w:noProof/>
              <w:color w:val="auto"/>
              <w:sz w:val="22"/>
              <w:szCs w:val="22"/>
            </w:rPr>
          </w:pPr>
          <w:hyperlink w:anchor="_Toc99476065" w:history="1">
            <w:r w:rsidR="00BE5D91" w:rsidRPr="0056029C">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4D112FA" w14:textId="28D5B98A" w:rsidR="00BE5D91" w:rsidRDefault="004D4354">
          <w:pPr>
            <w:pStyle w:val="Inhopg1"/>
            <w:rPr>
              <w:rFonts w:asciiTheme="minorHAnsi" w:eastAsiaTheme="minorEastAsia" w:hAnsiTheme="minorHAnsi" w:cstheme="minorBidi"/>
              <w:bCs w:val="0"/>
              <w:noProof/>
              <w:color w:val="auto"/>
              <w:sz w:val="22"/>
              <w:szCs w:val="22"/>
            </w:rPr>
          </w:pPr>
          <w:hyperlink w:anchor="_Toc99476066" w:history="1">
            <w:r w:rsidR="00BE5D91" w:rsidRPr="0056029C">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23D1E2C1" w14:textId="59996345" w:rsidR="00BE5D91" w:rsidRDefault="004D4354">
          <w:pPr>
            <w:pStyle w:val="Inhopg1"/>
            <w:rPr>
              <w:rFonts w:asciiTheme="minorHAnsi" w:eastAsiaTheme="minorEastAsia" w:hAnsiTheme="minorHAnsi" w:cstheme="minorBidi"/>
              <w:bCs w:val="0"/>
              <w:noProof/>
              <w:color w:val="auto"/>
              <w:sz w:val="22"/>
              <w:szCs w:val="22"/>
            </w:rPr>
          </w:pPr>
          <w:hyperlink w:anchor="_Toc99476067" w:history="1">
            <w:r w:rsidR="00BE5D91" w:rsidRPr="0056029C">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5F4C919" w14:textId="45008554" w:rsidR="00BE5D91" w:rsidRDefault="004D4354">
          <w:pPr>
            <w:pStyle w:val="Inhopg1"/>
            <w:rPr>
              <w:rFonts w:asciiTheme="minorHAnsi" w:eastAsiaTheme="minorEastAsia" w:hAnsiTheme="minorHAnsi" w:cstheme="minorBidi"/>
              <w:bCs w:val="0"/>
              <w:noProof/>
              <w:color w:val="auto"/>
              <w:sz w:val="22"/>
              <w:szCs w:val="22"/>
            </w:rPr>
          </w:pPr>
          <w:hyperlink w:anchor="_Toc99476068" w:history="1">
            <w:r w:rsidR="00BE5D91" w:rsidRPr="0056029C">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14:paraId="5AD3ACC1" w14:textId="26FDF818" w:rsidR="00BE5D91" w:rsidRDefault="004D4354">
          <w:pPr>
            <w:pStyle w:val="Inhopg1"/>
            <w:rPr>
              <w:rFonts w:asciiTheme="minorHAnsi" w:eastAsiaTheme="minorEastAsia" w:hAnsiTheme="minorHAnsi" w:cstheme="minorBidi"/>
              <w:bCs w:val="0"/>
              <w:noProof/>
              <w:color w:val="auto"/>
              <w:sz w:val="22"/>
              <w:szCs w:val="22"/>
            </w:rPr>
          </w:pPr>
          <w:hyperlink w:anchor="_Toc99476069" w:history="1">
            <w:r w:rsidR="00BE5D91" w:rsidRPr="0056029C">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05975ECE" w14:textId="52914378" w:rsidR="00BE5D91" w:rsidRDefault="004D4354">
          <w:pPr>
            <w:pStyle w:val="Inhopg1"/>
            <w:rPr>
              <w:rFonts w:asciiTheme="minorHAnsi" w:eastAsiaTheme="minorEastAsia" w:hAnsiTheme="minorHAnsi" w:cstheme="minorBidi"/>
              <w:bCs w:val="0"/>
              <w:noProof/>
              <w:color w:val="auto"/>
              <w:sz w:val="22"/>
              <w:szCs w:val="22"/>
            </w:rPr>
          </w:pPr>
          <w:hyperlink w:anchor="_Toc99476070" w:history="1">
            <w:r w:rsidR="00BE5D91" w:rsidRPr="0056029C">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1B1CAD86" w14:textId="36A426A2" w:rsidR="00BE5D91" w:rsidRDefault="004D4354">
          <w:pPr>
            <w:pStyle w:val="Inhopg1"/>
            <w:rPr>
              <w:rFonts w:asciiTheme="minorHAnsi" w:eastAsiaTheme="minorEastAsia" w:hAnsiTheme="minorHAnsi" w:cstheme="minorBidi"/>
              <w:bCs w:val="0"/>
              <w:noProof/>
              <w:color w:val="auto"/>
              <w:sz w:val="22"/>
              <w:szCs w:val="22"/>
            </w:rPr>
          </w:pPr>
          <w:hyperlink w:anchor="_Toc99476071" w:history="1">
            <w:r w:rsidR="00BE5D91" w:rsidRPr="0056029C">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28F68C63"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0052775E" w:rsidRPr="00127667">
        <w:rPr>
          <w:rFonts w:ascii="Arial" w:hAnsi="Arial" w:cs="Arial"/>
          <w:color w:val="000000" w:themeColor="text1"/>
          <w:szCs w:val="18"/>
          <w:lang w:val="nl-NL"/>
        </w:rPr>
        <w:t xml:space="preserve">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9AA2" w14:textId="77777777" w:rsidR="001A63CB" w:rsidRDefault="001A63CB" w:rsidP="000F22AF">
      <w:pPr>
        <w:spacing w:before="0" w:line="240" w:lineRule="auto"/>
      </w:pPr>
      <w:r>
        <w:separator/>
      </w:r>
    </w:p>
  </w:endnote>
  <w:endnote w:type="continuationSeparator" w:id="0">
    <w:p w14:paraId="21D29457" w14:textId="77777777" w:rsidR="001A63CB" w:rsidRDefault="001A63CB" w:rsidP="000F22AF">
      <w:pPr>
        <w:spacing w:before="0" w:line="240" w:lineRule="auto"/>
      </w:pPr>
      <w:r>
        <w:continuationSeparator/>
      </w:r>
    </w:p>
  </w:endnote>
  <w:endnote w:type="continuationNotice" w:id="1">
    <w:p w14:paraId="3B928071" w14:textId="77777777" w:rsidR="001A63CB" w:rsidRDefault="001A63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D850" w14:textId="77777777" w:rsidR="001A63CB" w:rsidRDefault="001A63CB" w:rsidP="000F22AF">
      <w:pPr>
        <w:spacing w:before="0" w:line="240" w:lineRule="auto"/>
      </w:pPr>
      <w:r>
        <w:separator/>
      </w:r>
    </w:p>
  </w:footnote>
  <w:footnote w:type="continuationSeparator" w:id="0">
    <w:p w14:paraId="61EC8A64" w14:textId="77777777" w:rsidR="001A63CB" w:rsidRDefault="001A63CB" w:rsidP="000F22AF">
      <w:pPr>
        <w:spacing w:before="0" w:line="240" w:lineRule="auto"/>
      </w:pPr>
      <w:r>
        <w:continuationSeparator/>
      </w:r>
    </w:p>
  </w:footnote>
  <w:footnote w:type="continuationNotice" w:id="1">
    <w:p w14:paraId="1157923E" w14:textId="77777777" w:rsidR="001A63CB" w:rsidRDefault="001A63CB">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11"/>
  </w:num>
  <w:num w:numId="2" w16cid:durableId="977606565">
    <w:abstractNumId w:val="32"/>
  </w:num>
  <w:num w:numId="3" w16cid:durableId="1621565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45"/>
  </w:num>
  <w:num w:numId="5" w16cid:durableId="1221482392">
    <w:abstractNumId w:val="0"/>
  </w:num>
  <w:num w:numId="6" w16cid:durableId="909121453">
    <w:abstractNumId w:val="2"/>
  </w:num>
  <w:num w:numId="7" w16cid:durableId="919368972">
    <w:abstractNumId w:val="37"/>
  </w:num>
  <w:num w:numId="8" w16cid:durableId="1619334809">
    <w:abstractNumId w:val="39"/>
  </w:num>
  <w:num w:numId="9" w16cid:durableId="197817050">
    <w:abstractNumId w:val="22"/>
  </w:num>
  <w:num w:numId="10" w16cid:durableId="412746604">
    <w:abstractNumId w:val="40"/>
  </w:num>
  <w:num w:numId="11" w16cid:durableId="471220361">
    <w:abstractNumId w:val="34"/>
  </w:num>
  <w:num w:numId="12" w16cid:durableId="1722438769">
    <w:abstractNumId w:val="38"/>
  </w:num>
  <w:num w:numId="13" w16cid:durableId="379398034">
    <w:abstractNumId w:val="20"/>
  </w:num>
  <w:num w:numId="14" w16cid:durableId="544408021">
    <w:abstractNumId w:val="7"/>
  </w:num>
  <w:num w:numId="15" w16cid:durableId="384960513">
    <w:abstractNumId w:val="8"/>
  </w:num>
  <w:num w:numId="16" w16cid:durableId="2116554622">
    <w:abstractNumId w:val="24"/>
  </w:num>
  <w:num w:numId="17" w16cid:durableId="1650401925">
    <w:abstractNumId w:val="16"/>
  </w:num>
  <w:num w:numId="18" w16cid:durableId="1830899319">
    <w:abstractNumId w:val="4"/>
  </w:num>
  <w:num w:numId="19" w16cid:durableId="774133002">
    <w:abstractNumId w:val="18"/>
  </w:num>
  <w:num w:numId="20" w16cid:durableId="1390154386">
    <w:abstractNumId w:val="35"/>
  </w:num>
  <w:num w:numId="21" w16cid:durableId="982807422">
    <w:abstractNumId w:val="12"/>
  </w:num>
  <w:num w:numId="22" w16cid:durableId="1101874831">
    <w:abstractNumId w:val="33"/>
  </w:num>
  <w:num w:numId="23" w16cid:durableId="575239914">
    <w:abstractNumId w:val="49"/>
  </w:num>
  <w:num w:numId="24" w16cid:durableId="443161407">
    <w:abstractNumId w:val="42"/>
  </w:num>
  <w:num w:numId="25" w16cid:durableId="578054218">
    <w:abstractNumId w:val="50"/>
  </w:num>
  <w:num w:numId="26" w16cid:durableId="924873695">
    <w:abstractNumId w:val="31"/>
  </w:num>
  <w:num w:numId="27" w16cid:durableId="1436711645">
    <w:abstractNumId w:val="10"/>
  </w:num>
  <w:num w:numId="28" w16cid:durableId="1621456834">
    <w:abstractNumId w:val="36"/>
  </w:num>
  <w:num w:numId="29" w16cid:durableId="839656758">
    <w:abstractNumId w:val="1"/>
  </w:num>
  <w:num w:numId="30" w16cid:durableId="1486051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8188989">
    <w:abstractNumId w:val="30"/>
  </w:num>
  <w:num w:numId="32" w16cid:durableId="683021574">
    <w:abstractNumId w:val="23"/>
  </w:num>
  <w:num w:numId="33" w16cid:durableId="1181622522">
    <w:abstractNumId w:val="21"/>
  </w:num>
  <w:num w:numId="34" w16cid:durableId="674648776">
    <w:abstractNumId w:val="5"/>
  </w:num>
  <w:num w:numId="35" w16cid:durableId="2056541772">
    <w:abstractNumId w:val="43"/>
  </w:num>
  <w:num w:numId="36" w16cid:durableId="2035224611">
    <w:abstractNumId w:val="14"/>
  </w:num>
  <w:num w:numId="37" w16cid:durableId="5982335">
    <w:abstractNumId w:val="14"/>
    <w:lvlOverride w:ilvl="0">
      <w:startOverride w:val="1"/>
    </w:lvlOverride>
  </w:num>
  <w:num w:numId="38" w16cid:durableId="1765614242">
    <w:abstractNumId w:val="47"/>
  </w:num>
  <w:num w:numId="39" w16cid:durableId="324213172">
    <w:abstractNumId w:val="47"/>
    <w:lvlOverride w:ilvl="0">
      <w:startOverride w:val="1"/>
    </w:lvlOverride>
  </w:num>
  <w:num w:numId="40" w16cid:durableId="994532183">
    <w:abstractNumId w:val="26"/>
  </w:num>
  <w:num w:numId="41" w16cid:durableId="912471131">
    <w:abstractNumId w:val="44"/>
  </w:num>
  <w:num w:numId="42" w16cid:durableId="2025470065">
    <w:abstractNumId w:val="17"/>
  </w:num>
  <w:num w:numId="43" w16cid:durableId="1543982558">
    <w:abstractNumId w:val="29"/>
  </w:num>
  <w:num w:numId="44" w16cid:durableId="453982890">
    <w:abstractNumId w:val="3"/>
  </w:num>
  <w:num w:numId="45" w16cid:durableId="1733500924">
    <w:abstractNumId w:val="13"/>
  </w:num>
  <w:num w:numId="46" w16cid:durableId="1330212501">
    <w:abstractNumId w:val="28"/>
  </w:num>
  <w:num w:numId="47" w16cid:durableId="12390937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162520">
    <w:abstractNumId w:val="46"/>
  </w:num>
  <w:num w:numId="49" w16cid:durableId="1759129021">
    <w:abstractNumId w:val="19"/>
  </w:num>
  <w:num w:numId="50" w16cid:durableId="1186407594">
    <w:abstractNumId w:val="15"/>
  </w:num>
  <w:num w:numId="51" w16cid:durableId="1507793476">
    <w:abstractNumId w:val="27"/>
  </w:num>
  <w:num w:numId="52" w16cid:durableId="601962291">
    <w:abstractNumId w:val="41"/>
  </w:num>
  <w:num w:numId="53" w16cid:durableId="15624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7350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17498823">
    <w:abstractNumId w:val="48"/>
  </w:num>
  <w:num w:numId="56" w16cid:durableId="565144075">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354"/>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6" ma:contentTypeDescription="Een nieuw document maken." ma:contentTypeScope="" ma:versionID="0091e50d1a3a7ce5902921c7dc6dd235">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2e7b55719572056845f9a5d64584294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56a76d2-b0b0-44b3-ae4c-b766b0f5be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6a6987-edb7-4a62-9df3-db6c463db08e}" ma:internalName="TaxCatchAll" ma:showField="CatchAllData" ma:web="718f682f-1aee-4659-8d2c-29e8773f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f780-fb82-45e2-9f8e-81a7b540ed3a">
      <Terms xmlns="http://schemas.microsoft.com/office/infopath/2007/PartnerControls"/>
    </lcf76f155ced4ddcb4097134ff3c332f>
    <TaxCatchAll xmlns="718f682f-1aee-4659-8d2c-29e8773f526d" xsi:nil="true"/>
  </documentManagement>
</p:properties>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190B5204-6E72-4882-8772-04A31C49CF4F}"/>
</file>

<file path=customXml/itemProps3.xml><?xml version="1.0" encoding="utf-8"?>
<ds:datastoreItem xmlns:ds="http://schemas.openxmlformats.org/officeDocument/2006/customXml" ds:itemID="{2675A47B-E712-468A-AF94-827DC4AFE67A}"/>
</file>

<file path=customXml/itemProps4.xml><?xml version="1.0" encoding="utf-8"?>
<ds:datastoreItem xmlns:ds="http://schemas.openxmlformats.org/officeDocument/2006/customXml" ds:itemID="{FB6E4B01-D820-4B94-9433-53935F286452}"/>
</file>

<file path=docProps/app.xml><?xml version="1.0" encoding="utf-8"?>
<Properties xmlns="http://schemas.openxmlformats.org/officeDocument/2006/extended-properties" xmlns:vt="http://schemas.openxmlformats.org/officeDocument/2006/docPropsVTypes">
  <Template>Normal</Template>
  <TotalTime>0</TotalTime>
  <Pages>12</Pages>
  <Words>5609</Words>
  <Characters>30852</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2023-03-24T13:00:00Z</dcterms:created>
  <dcterms:modified xsi:type="dcterms:W3CDTF">2023-03-24T13:00:00Z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ies>
</file>