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F555" w14:textId="77777777" w:rsidR="00700511" w:rsidRDefault="00700511"/>
    <w:p w14:paraId="43427D45" w14:textId="77777777" w:rsidR="00700511" w:rsidRDefault="00FE7396">
      <w:pPr>
        <w:spacing w:before="239" w:after="239" w:line="240" w:lineRule="auto"/>
        <w:textAlignment w:val="top"/>
      </w:pPr>
      <w:r>
        <w:rPr>
          <w:rFonts w:eastAsia="Calibri" w:cs="Calibri"/>
        </w:rPr>
        <w:t xml:space="preserve"> </w:t>
      </w:r>
    </w:p>
    <w:p w14:paraId="68CC8D2A" w14:textId="77777777" w:rsidR="00700511" w:rsidRDefault="00FE7396">
      <w:pPr>
        <w:pStyle w:val="Kop2"/>
        <w:spacing w:before="199" w:after="199" w:line="240" w:lineRule="auto"/>
      </w:pPr>
      <w:r>
        <w:t xml:space="preserve">CONCEPTOVEREENKOMST </w:t>
      </w:r>
      <w:r>
        <w:rPr>
          <w:i/>
          <w:iCs/>
        </w:rPr>
        <w:t>ten behoeve van Raamovereenkomst t.b.v Europese Aanbesteding voor Hardware en randapparatuur voor werkplekken</w:t>
      </w:r>
      <w:r>
        <w:t xml:space="preserve"> </w:t>
      </w:r>
    </w:p>
    <w:p w14:paraId="0A5080F1" w14:textId="77777777" w:rsidR="00700511" w:rsidRDefault="00FE7396">
      <w:pPr>
        <w:spacing w:before="239" w:after="239" w:line="240" w:lineRule="auto"/>
        <w:textAlignment w:val="top"/>
      </w:pPr>
      <w:r>
        <w:rPr>
          <w:rFonts w:eastAsia="Calibri" w:cs="Calibri"/>
          <w:b/>
          <w:bCs/>
          <w:i/>
          <w:iCs/>
        </w:rPr>
        <w:t>REFERENTIE: 360001</w:t>
      </w:r>
    </w:p>
    <w:p w14:paraId="4D6F5A9E" w14:textId="77777777" w:rsidR="00700511" w:rsidRDefault="00FE7396">
      <w:pPr>
        <w:spacing w:before="239" w:after="239" w:line="240" w:lineRule="auto"/>
        <w:textAlignment w:val="top"/>
      </w:pPr>
      <w:r>
        <w:rPr>
          <w:rFonts w:eastAsia="Calibri" w:cs="Calibri"/>
          <w:b/>
          <w:bCs/>
        </w:rPr>
        <w:t>Ondergetekenden</w:t>
      </w:r>
    </w:p>
    <w:p w14:paraId="43F43AA9" w14:textId="77777777" w:rsidR="00700511" w:rsidRDefault="00FE7396">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Gouda</w:t>
      </w:r>
      <w:r>
        <w:rPr>
          <w:rFonts w:eastAsia="Calibri" w:cs="Calibri"/>
        </w:rPr>
        <w:t xml:space="preserve">, te dezen rechtsgeldig vertegenwoordigd door </w:t>
      </w:r>
      <w:r>
        <w:rPr>
          <w:rFonts w:eastAsia="Calibri" w:cs="Calibri"/>
          <w:i/>
          <w:iCs/>
        </w:rPr>
        <w:t>B. Paulussen</w:t>
      </w:r>
      <w:r>
        <w:rPr>
          <w:rFonts w:eastAsia="Calibri" w:cs="Calibri"/>
        </w:rPr>
        <w:t xml:space="preserve">, </w:t>
      </w:r>
      <w:r>
        <w:rPr>
          <w:rFonts w:eastAsia="Calibri" w:cs="Calibri"/>
          <w:i/>
          <w:iCs/>
        </w:rPr>
        <w:t>Directeur</w:t>
      </w:r>
      <w:r>
        <w:rPr>
          <w:rFonts w:eastAsia="Calibri" w:cs="Calibri"/>
        </w:rPr>
        <w:t>, hierna te noemen "</w:t>
      </w:r>
      <w:r>
        <w:rPr>
          <w:rFonts w:eastAsia="Calibri" w:cs="Calibri"/>
          <w:b/>
          <w:bCs/>
        </w:rPr>
        <w:t>Opdrachtgever</w:t>
      </w:r>
      <w:r>
        <w:rPr>
          <w:rFonts w:eastAsia="Calibri" w:cs="Calibri"/>
        </w:rPr>
        <w:t>";</w:t>
      </w:r>
    </w:p>
    <w:p w14:paraId="0B7B4861" w14:textId="77777777" w:rsidR="00700511" w:rsidRDefault="00FE7396">
      <w:pPr>
        <w:spacing w:before="239" w:after="239" w:line="240" w:lineRule="auto"/>
        <w:textAlignment w:val="top"/>
      </w:pPr>
      <w:r>
        <w:rPr>
          <w:rFonts w:eastAsia="Calibri" w:cs="Calibri"/>
          <w:i/>
          <w:iCs/>
        </w:rPr>
        <w:t>en</w:t>
      </w:r>
    </w:p>
    <w:p w14:paraId="139462B2" w14:textId="77777777" w:rsidR="00700511" w:rsidRDefault="00FE7396">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E9AF5A5" w14:textId="77777777" w:rsidR="00700511" w:rsidRDefault="00FE7396">
      <w:pPr>
        <w:spacing w:before="239" w:after="239" w:line="240" w:lineRule="auto"/>
        <w:textAlignment w:val="top"/>
      </w:pPr>
      <w:r>
        <w:rPr>
          <w:rFonts w:eastAsia="Calibri" w:cs="Calibri"/>
          <w:i/>
          <w:iCs/>
        </w:rPr>
        <w:t>tezamen hierna verder aan te duiden als "partijen" dan wel afzonderlijk als "partij",</w:t>
      </w:r>
    </w:p>
    <w:p w14:paraId="59CE9082" w14:textId="77777777" w:rsidR="00700511" w:rsidRDefault="00FE7396">
      <w:pPr>
        <w:spacing w:before="239" w:after="239" w:line="240" w:lineRule="auto"/>
        <w:textAlignment w:val="top"/>
      </w:pPr>
      <w:r>
        <w:rPr>
          <w:rFonts w:eastAsia="Calibri" w:cs="Calibri"/>
          <w:b/>
          <w:bCs/>
        </w:rPr>
        <w:t>overwegende dat:</w:t>
      </w:r>
    </w:p>
    <w:p w14:paraId="648AB5B3" w14:textId="77777777" w:rsidR="00700511" w:rsidRDefault="00FE7396" w:rsidP="007D720E">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38697223" w14:textId="77777777" w:rsidR="00700511" w:rsidRDefault="00FE7396">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404C87F3" w14:textId="77777777" w:rsidR="00700511" w:rsidRDefault="00FE7396">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30849F2" w14:textId="77777777" w:rsidR="00700511" w:rsidRDefault="00FE7396">
      <w:pPr>
        <w:spacing w:before="239" w:after="239" w:line="240" w:lineRule="auto"/>
        <w:textAlignment w:val="top"/>
      </w:pPr>
      <w:r>
        <w:rPr>
          <w:rFonts w:eastAsia="Calibri" w:cs="Calibri"/>
          <w:b/>
          <w:bCs/>
        </w:rPr>
        <w:t>zijn als volgt overeengekomen:</w:t>
      </w:r>
    </w:p>
    <w:p w14:paraId="0009AC7F" w14:textId="77777777" w:rsidR="00700511" w:rsidRDefault="00FE7396">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0E2B46FA" w14:textId="77777777" w:rsidR="00700511" w:rsidRDefault="00FE7396">
      <w:pPr>
        <w:numPr>
          <w:ilvl w:val="0"/>
          <w:numId w:val="4"/>
        </w:numPr>
        <w:spacing w:line="240" w:lineRule="auto"/>
        <w:rPr>
          <w:rFonts w:ascii="Calibri" w:eastAsia="Calibri" w:hAnsi="Calibri" w:cs="Calibri"/>
        </w:rPr>
      </w:pPr>
      <w:r>
        <w:rPr>
          <w:rFonts w:eastAsia="Calibri" w:cs="Calibri"/>
          <w:color w:val="000000"/>
        </w:rPr>
        <w:t>De Nota van Inlichtingen;</w:t>
      </w:r>
    </w:p>
    <w:p w14:paraId="2D4E9933" w14:textId="77777777" w:rsidR="00700511" w:rsidRDefault="00FE7396">
      <w:pPr>
        <w:numPr>
          <w:ilvl w:val="0"/>
          <w:numId w:val="4"/>
        </w:numPr>
        <w:spacing w:line="240" w:lineRule="auto"/>
        <w:rPr>
          <w:rFonts w:ascii="Calibri" w:eastAsia="Calibri" w:hAnsi="Calibri" w:cs="Calibri"/>
        </w:rPr>
      </w:pPr>
      <w:r>
        <w:rPr>
          <w:rFonts w:eastAsia="Calibri" w:cs="Calibri"/>
          <w:color w:val="000000"/>
        </w:rPr>
        <w:t>Het Beschrijvend Document;</w:t>
      </w:r>
    </w:p>
    <w:p w14:paraId="3B57F963" w14:textId="77777777" w:rsidR="00700511" w:rsidRDefault="00FE7396">
      <w:pPr>
        <w:numPr>
          <w:ilvl w:val="0"/>
          <w:numId w:val="4"/>
        </w:numPr>
        <w:spacing w:line="240" w:lineRule="auto"/>
        <w:rPr>
          <w:rFonts w:ascii="Calibri" w:eastAsia="Calibri" w:hAnsi="Calibri" w:cs="Calibri"/>
        </w:rPr>
      </w:pPr>
      <w:r>
        <w:rPr>
          <w:rFonts w:eastAsia="Calibri" w:cs="Calibri"/>
          <w:color w:val="000000"/>
        </w:rPr>
        <w:lastRenderedPageBreak/>
        <w:t>Het Programma van Eisen;</w:t>
      </w:r>
    </w:p>
    <w:p w14:paraId="390713A5" w14:textId="77777777" w:rsidR="00700511" w:rsidRDefault="00FE7396">
      <w:pPr>
        <w:numPr>
          <w:ilvl w:val="0"/>
          <w:numId w:val="4"/>
        </w:numPr>
        <w:spacing w:line="240" w:lineRule="auto"/>
        <w:rPr>
          <w:rFonts w:ascii="Calibri" w:eastAsia="Calibri" w:hAnsi="Calibri" w:cs="Calibri"/>
        </w:rPr>
      </w:pPr>
      <w:r>
        <w:rPr>
          <w:rFonts w:eastAsia="Calibri" w:cs="Calibri"/>
          <w:color w:val="000000"/>
        </w:rPr>
        <w:t>Het Bestek;</w:t>
      </w:r>
    </w:p>
    <w:p w14:paraId="5F89821F" w14:textId="77777777" w:rsidR="00700511" w:rsidRDefault="00FE7396">
      <w:pPr>
        <w:numPr>
          <w:ilvl w:val="0"/>
          <w:numId w:val="4"/>
        </w:numPr>
        <w:spacing w:line="240" w:lineRule="auto"/>
        <w:rPr>
          <w:rFonts w:ascii="Calibri" w:eastAsia="Calibri" w:hAnsi="Calibri" w:cs="Calibri"/>
        </w:rPr>
      </w:pPr>
      <w:r>
        <w:rPr>
          <w:rFonts w:eastAsia="Calibri" w:cs="Calibri"/>
          <w:color w:val="000000"/>
        </w:rPr>
        <w:t>De Offerte van de Leverancier.</w:t>
      </w:r>
    </w:p>
    <w:p w14:paraId="3951CFA8" w14:textId="77777777" w:rsidR="00700511" w:rsidRDefault="00FE7396">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12982531" w14:textId="77777777" w:rsidR="00700511" w:rsidRDefault="00FE7396">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71D79560" w14:textId="77777777" w:rsidR="00700511" w:rsidRDefault="00FE7396">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768A7623" w14:textId="77777777" w:rsidR="00700511" w:rsidRDefault="00FE7396">
      <w:pPr>
        <w:numPr>
          <w:ilvl w:val="0"/>
          <w:numId w:val="4"/>
        </w:numPr>
        <w:spacing w:line="240" w:lineRule="auto"/>
        <w:rPr>
          <w:rFonts w:ascii="Calibri" w:eastAsia="Calibri" w:hAnsi="Calibri" w:cs="Calibri"/>
        </w:rPr>
      </w:pPr>
      <w:r>
        <w:rPr>
          <w:rFonts w:eastAsia="Calibri" w:cs="Calibri"/>
        </w:rPr>
        <w:t>Architectuur;</w:t>
      </w:r>
    </w:p>
    <w:p w14:paraId="38E31D11" w14:textId="77777777" w:rsidR="00700511" w:rsidRDefault="00FE7396">
      <w:pPr>
        <w:numPr>
          <w:ilvl w:val="0"/>
          <w:numId w:val="4"/>
        </w:numPr>
        <w:spacing w:line="240" w:lineRule="auto"/>
        <w:rPr>
          <w:rFonts w:ascii="Calibri" w:eastAsia="Calibri" w:hAnsi="Calibri" w:cs="Calibri"/>
        </w:rPr>
      </w:pPr>
      <w:r>
        <w:rPr>
          <w:rFonts w:eastAsia="Calibri" w:cs="Calibri"/>
        </w:rPr>
        <w:t>Interoperabiliteit;</w:t>
      </w:r>
    </w:p>
    <w:p w14:paraId="7BDEF4DB" w14:textId="77777777" w:rsidR="00700511" w:rsidRDefault="00FE7396">
      <w:pPr>
        <w:numPr>
          <w:ilvl w:val="0"/>
          <w:numId w:val="4"/>
        </w:numPr>
        <w:spacing w:line="240" w:lineRule="auto"/>
        <w:rPr>
          <w:rFonts w:ascii="Calibri" w:eastAsia="Calibri" w:hAnsi="Calibri" w:cs="Calibri"/>
        </w:rPr>
      </w:pPr>
      <w:r>
        <w:rPr>
          <w:rFonts w:eastAsia="Calibri" w:cs="Calibri"/>
        </w:rPr>
        <w:t>Informatiebeveiliging en privacy;</w:t>
      </w:r>
    </w:p>
    <w:p w14:paraId="3364740A" w14:textId="77777777" w:rsidR="00700511" w:rsidRDefault="00FE7396">
      <w:pPr>
        <w:numPr>
          <w:ilvl w:val="0"/>
          <w:numId w:val="4"/>
        </w:numPr>
        <w:spacing w:line="240" w:lineRule="auto"/>
        <w:rPr>
          <w:rFonts w:ascii="Calibri" w:eastAsia="Calibri" w:hAnsi="Calibri" w:cs="Calibri"/>
        </w:rPr>
      </w:pPr>
      <w:r>
        <w:rPr>
          <w:rFonts w:eastAsia="Calibri" w:cs="Calibri"/>
        </w:rPr>
        <w:t>Dataportabiliteit;</w:t>
      </w:r>
    </w:p>
    <w:p w14:paraId="2FC46E7D" w14:textId="77777777" w:rsidR="00700511" w:rsidRDefault="00FE7396">
      <w:pPr>
        <w:numPr>
          <w:ilvl w:val="0"/>
          <w:numId w:val="4"/>
        </w:numPr>
        <w:spacing w:line="240" w:lineRule="auto"/>
        <w:rPr>
          <w:rFonts w:ascii="Calibri" w:eastAsia="Calibri" w:hAnsi="Calibri" w:cs="Calibri"/>
        </w:rPr>
      </w:pPr>
      <w:r>
        <w:rPr>
          <w:rFonts w:eastAsia="Calibri" w:cs="Calibri"/>
        </w:rPr>
        <w:t>Toegankelijkheid;</w:t>
      </w:r>
    </w:p>
    <w:p w14:paraId="1DCF767F" w14:textId="77777777" w:rsidR="00700511" w:rsidRDefault="00FE7396">
      <w:pPr>
        <w:numPr>
          <w:ilvl w:val="0"/>
          <w:numId w:val="4"/>
        </w:numPr>
        <w:spacing w:line="240" w:lineRule="auto"/>
        <w:rPr>
          <w:rFonts w:ascii="Calibri" w:eastAsia="Calibri" w:hAnsi="Calibri" w:cs="Calibri"/>
        </w:rPr>
      </w:pPr>
      <w:r>
        <w:rPr>
          <w:rFonts w:eastAsia="Calibri" w:cs="Calibri"/>
        </w:rPr>
        <w:t>Archivering;</w:t>
      </w:r>
    </w:p>
    <w:p w14:paraId="3B01ABBF" w14:textId="77777777" w:rsidR="00700511" w:rsidRDefault="00FE7396">
      <w:pPr>
        <w:numPr>
          <w:ilvl w:val="0"/>
          <w:numId w:val="4"/>
        </w:numPr>
        <w:spacing w:line="240" w:lineRule="auto"/>
        <w:rPr>
          <w:rFonts w:ascii="Calibri" w:eastAsia="Calibri" w:hAnsi="Calibri" w:cs="Calibri"/>
        </w:rPr>
      </w:pPr>
      <w:r>
        <w:rPr>
          <w:rFonts w:eastAsia="Calibri" w:cs="Calibri"/>
        </w:rPr>
        <w:t>Infrastructuur;</w:t>
      </w:r>
    </w:p>
    <w:p w14:paraId="4A268E69" w14:textId="77777777" w:rsidR="00700511" w:rsidRDefault="00FE7396">
      <w:pPr>
        <w:numPr>
          <w:ilvl w:val="0"/>
          <w:numId w:val="4"/>
        </w:numPr>
        <w:spacing w:line="240" w:lineRule="auto"/>
        <w:rPr>
          <w:rFonts w:ascii="Calibri" w:eastAsia="Calibri" w:hAnsi="Calibri" w:cs="Calibri"/>
        </w:rPr>
      </w:pPr>
      <w:r>
        <w:rPr>
          <w:rFonts w:eastAsia="Calibri" w:cs="Calibri"/>
        </w:rPr>
        <w:t>Documentatie;</w:t>
      </w:r>
    </w:p>
    <w:p w14:paraId="44322BAF" w14:textId="77777777" w:rsidR="00700511" w:rsidRDefault="00FE7396">
      <w:pPr>
        <w:numPr>
          <w:ilvl w:val="0"/>
          <w:numId w:val="4"/>
        </w:numPr>
        <w:spacing w:line="240" w:lineRule="auto"/>
        <w:rPr>
          <w:rFonts w:ascii="Calibri" w:eastAsia="Calibri" w:hAnsi="Calibri" w:cs="Calibri"/>
        </w:rPr>
      </w:pPr>
      <w:r>
        <w:rPr>
          <w:rFonts w:eastAsia="Calibri" w:cs="Calibri"/>
        </w:rPr>
        <w:t>E-facturering.</w:t>
      </w:r>
    </w:p>
    <w:p w14:paraId="53C2B4BC" w14:textId="77777777" w:rsidR="00700511" w:rsidRDefault="00FE7396">
      <w:pPr>
        <w:spacing w:before="239" w:after="239" w:line="240" w:lineRule="auto"/>
        <w:textAlignment w:val="top"/>
      </w:pPr>
      <w:r>
        <w:rPr>
          <w:rFonts w:eastAsia="Calibri" w:cs="Calibri"/>
          <w:b/>
          <w:bCs/>
        </w:rPr>
        <w:t>4. Looptijd</w:t>
      </w:r>
      <w:r>
        <w:rPr>
          <w:rFonts w:eastAsia="Calibri" w:cs="Calibri"/>
        </w:rPr>
        <w:br/>
      </w:r>
      <w:r w:rsidRPr="00A26C8A">
        <w:rPr>
          <w:rFonts w:eastAsia="Calibri" w:cs="Calibri"/>
        </w:rPr>
        <w:t xml:space="preserve">4.1. De Overeenkomst treedt in werking op </w:t>
      </w:r>
      <w:r w:rsidRPr="00A26C8A">
        <w:rPr>
          <w:rFonts w:eastAsia="Calibri" w:cs="Calibri"/>
          <w:iCs/>
        </w:rPr>
        <w:t>het moment waarop deze door beide partijen is ondertekend</w:t>
      </w:r>
      <w:r w:rsidRPr="00A26C8A">
        <w:rPr>
          <w:rFonts w:eastAsia="Calibri" w:cs="Calibri"/>
        </w:rPr>
        <w:t>.</w:t>
      </w:r>
      <w:r w:rsidRPr="00A26C8A">
        <w:rPr>
          <w:rFonts w:eastAsia="Calibri" w:cs="Calibri"/>
        </w:rPr>
        <w:br/>
        <w:t xml:space="preserve">4.2. </w:t>
      </w:r>
      <w:r w:rsidRPr="00A26C8A">
        <w:rPr>
          <w:rFonts w:eastAsia="Calibri" w:cs="Calibri"/>
          <w:iCs/>
        </w:rPr>
        <w:t>De Overeenkomst heeft een looptijd tot twee (2) jaar na inwerkingtreding overeenkomstig lid 1 van dit artikel</w:t>
      </w:r>
      <w:r w:rsidRPr="00A26C8A">
        <w:rPr>
          <w:rFonts w:eastAsia="Calibri" w:cs="Calibri"/>
        </w:rPr>
        <w:t>.</w:t>
      </w:r>
      <w:r w:rsidRPr="00A26C8A">
        <w:rPr>
          <w:rFonts w:eastAsia="Calibri" w:cs="Calibri"/>
        </w:rPr>
        <w:br/>
        <w:t xml:space="preserve">4.3. </w:t>
      </w:r>
      <w:r w:rsidRPr="00A26C8A">
        <w:rPr>
          <w:rFonts w:eastAsia="Calibri" w:cs="Calibri"/>
          <w:iCs/>
        </w:rPr>
        <w:t>Na afloop van de voornoemde looptijd</w:t>
      </w:r>
      <w:r w:rsidRPr="00A26C8A">
        <w:rPr>
          <w:rFonts w:eastAsia="Calibri" w:cs="Calibri"/>
        </w:rPr>
        <w:t xml:space="preserve"> </w:t>
      </w:r>
      <w:r w:rsidRPr="00A26C8A">
        <w:rPr>
          <w:rFonts w:eastAsia="Calibri" w:cs="Calibri"/>
          <w:iCs/>
        </w:rPr>
        <w:t>wordt de overeenkomst slechts op verzoek van Opdrachtgever</w:t>
      </w:r>
      <w:r w:rsidRPr="00A26C8A">
        <w:rPr>
          <w:rFonts w:eastAsia="Calibri" w:cs="Calibri"/>
        </w:rPr>
        <w:t xml:space="preserve"> </w:t>
      </w:r>
      <w:r w:rsidRPr="00A26C8A">
        <w:rPr>
          <w:rFonts w:eastAsia="Calibri" w:cs="Calibri"/>
          <w:iCs/>
        </w:rPr>
        <w:t>verlengd. Opdrachtgever geeft uiterlijk</w:t>
      </w:r>
      <w:r w:rsidRPr="00A26C8A">
        <w:rPr>
          <w:rFonts w:eastAsia="Calibri" w:cs="Calibri"/>
        </w:rPr>
        <w:t xml:space="preserve"> </w:t>
      </w:r>
      <w:r w:rsidRPr="00A26C8A">
        <w:rPr>
          <w:rFonts w:eastAsia="Calibri" w:cs="Calibri"/>
          <w:iCs/>
        </w:rPr>
        <w:t>drie (3) maanden</w:t>
      </w:r>
      <w:r w:rsidRPr="00A26C8A">
        <w:rPr>
          <w:rFonts w:eastAsia="Calibri" w:cs="Calibri"/>
        </w:rPr>
        <w:t xml:space="preserve"> </w:t>
      </w:r>
      <w:r w:rsidRPr="00A26C8A">
        <w:rPr>
          <w:rFonts w:eastAsia="Calibri" w:cs="Calibri"/>
          <w:iCs/>
        </w:rPr>
        <w:t>voor einde looptijd aan de Overeenkomst te verlengen</w:t>
      </w:r>
      <w:r w:rsidRPr="00A26C8A">
        <w:rPr>
          <w:rFonts w:eastAsia="Calibri" w:cs="Calibri"/>
        </w:rPr>
        <w:t xml:space="preserve">. </w:t>
      </w:r>
      <w:r w:rsidRPr="00A26C8A">
        <w:rPr>
          <w:rFonts w:eastAsia="Calibri" w:cs="Calibri"/>
          <w:iCs/>
        </w:rPr>
        <w:br/>
        <w:t>4.4.</w:t>
      </w:r>
      <w:r w:rsidRPr="00A26C8A">
        <w:rPr>
          <w:rFonts w:eastAsia="Calibri" w:cs="Calibri"/>
        </w:rPr>
        <w:t xml:space="preserve"> </w:t>
      </w:r>
      <w:r w:rsidRPr="00A26C8A">
        <w:rPr>
          <w:rFonts w:eastAsia="Calibri" w:cs="Calibri"/>
          <w:iCs/>
        </w:rPr>
        <w:t>De Overeenkomst mag</w:t>
      </w:r>
      <w:r w:rsidRPr="00A26C8A">
        <w:rPr>
          <w:rFonts w:eastAsia="Calibri" w:cs="Calibri"/>
        </w:rPr>
        <w:t xml:space="preserve"> </w:t>
      </w:r>
      <w:r w:rsidRPr="00A26C8A">
        <w:rPr>
          <w:rFonts w:eastAsia="Calibri" w:cs="Calibri"/>
          <w:iCs/>
        </w:rPr>
        <w:t>maximaal tweemaal</w:t>
      </w:r>
      <w:r w:rsidRPr="00A26C8A">
        <w:rPr>
          <w:rFonts w:eastAsia="Calibri" w:cs="Calibri"/>
        </w:rPr>
        <w:t xml:space="preserve"> </w:t>
      </w:r>
      <w:r w:rsidRPr="00A26C8A">
        <w:rPr>
          <w:rFonts w:eastAsia="Calibri" w:cs="Calibri"/>
          <w:iCs/>
        </w:rPr>
        <w:t>worden verlengd.</w:t>
      </w:r>
      <w:r w:rsidRPr="00A26C8A">
        <w:rPr>
          <w:rFonts w:eastAsia="Calibri" w:cs="Calibri"/>
        </w:rPr>
        <w:t xml:space="preserve"> </w:t>
      </w:r>
      <w:r w:rsidRPr="00A26C8A">
        <w:rPr>
          <w:rFonts w:eastAsia="Calibri" w:cs="Calibri"/>
          <w:iCs/>
        </w:rPr>
        <w:br/>
        <w:t>4.5. Bij verlenging wordt de Overeenkomst verlengd met een periode</w:t>
      </w:r>
      <w:r w:rsidRPr="00A26C8A">
        <w:rPr>
          <w:rFonts w:eastAsia="Calibri" w:cs="Calibri"/>
        </w:rPr>
        <w:t xml:space="preserve"> </w:t>
      </w:r>
      <w:r w:rsidRPr="00A26C8A">
        <w:rPr>
          <w:rFonts w:eastAsia="Calibri" w:cs="Calibri"/>
          <w:iCs/>
        </w:rPr>
        <w:t>van twee (2) jaar</w:t>
      </w:r>
      <w:r w:rsidRPr="00A26C8A">
        <w:rPr>
          <w:rFonts w:eastAsia="Calibri" w:cs="Calibri"/>
        </w:rPr>
        <w:t>.</w:t>
      </w:r>
      <w:r w:rsidRPr="00A26C8A">
        <w:rPr>
          <w:rFonts w:eastAsia="Calibri" w:cs="Calibri"/>
        </w:rPr>
        <w:br/>
        <w:t xml:space="preserve">4.6. De volgende onderdelen van de ICT Prestatie worden voor wat betreft looptijd in ieder geval als afzonderlijke Overeenkomsten beschouwd in de zin van artikel 20.3 GIBIT 2020: </w:t>
      </w:r>
    </w:p>
    <w:p w14:paraId="6F9C7A2B" w14:textId="77777777" w:rsidR="00700511" w:rsidRDefault="00FE7396">
      <w:pPr>
        <w:numPr>
          <w:ilvl w:val="0"/>
          <w:numId w:val="4"/>
        </w:numPr>
        <w:spacing w:line="240" w:lineRule="auto"/>
        <w:rPr>
          <w:rFonts w:ascii="Calibri" w:eastAsia="Calibri" w:hAnsi="Calibri" w:cs="Calibri"/>
        </w:rPr>
      </w:pPr>
      <w:r>
        <w:rPr>
          <w:rFonts w:eastAsia="Calibri" w:cs="Calibri"/>
        </w:rPr>
        <w:t>Onderhoud;</w:t>
      </w:r>
    </w:p>
    <w:p w14:paraId="6107B6B6" w14:textId="77777777" w:rsidR="00700511" w:rsidRDefault="00FE7396">
      <w:pPr>
        <w:numPr>
          <w:ilvl w:val="0"/>
          <w:numId w:val="4"/>
        </w:numPr>
        <w:spacing w:line="240" w:lineRule="auto"/>
        <w:rPr>
          <w:rFonts w:ascii="Calibri" w:eastAsia="Calibri" w:hAnsi="Calibri" w:cs="Calibri"/>
        </w:rPr>
      </w:pPr>
      <w:r>
        <w:rPr>
          <w:rFonts w:eastAsia="Calibri" w:cs="Calibri"/>
        </w:rPr>
        <w:t>Verwerkersovereenkomst.</w:t>
      </w:r>
    </w:p>
    <w:p w14:paraId="7FF93DF4" w14:textId="77777777" w:rsidR="00700511" w:rsidRDefault="00FE7396">
      <w:pPr>
        <w:spacing w:before="239" w:after="239" w:line="240" w:lineRule="auto"/>
        <w:textAlignment w:val="top"/>
      </w:pPr>
      <w:r>
        <w:rPr>
          <w:rFonts w:eastAsia="Calibri" w:cs="Calibri"/>
        </w:rPr>
        <w:t xml:space="preserve"> </w:t>
      </w:r>
      <w:r>
        <w:rPr>
          <w:rFonts w:eastAsia="Calibri" w:cs="Calibri"/>
          <w:b/>
          <w:bCs/>
        </w:rPr>
        <w:t>5. Onderhoud</w:t>
      </w:r>
      <w:r>
        <w:rPr>
          <w:rFonts w:eastAsia="Calibri" w:cs="Calibri"/>
        </w:rPr>
        <w:br/>
        <w:t xml:space="preserve">5.1. </w:t>
      </w:r>
      <w:r>
        <w:rPr>
          <w:rFonts w:eastAsia="Calibri" w:cs="Calibri"/>
          <w:i/>
          <w:iCs/>
        </w:rPr>
        <w:t>Er is expliciet overeengekomen om geen Onderhoud af te nemen.</w:t>
      </w:r>
    </w:p>
    <w:p w14:paraId="17CAB1AE" w14:textId="77777777" w:rsidR="00700511" w:rsidRDefault="00FE7396">
      <w:pPr>
        <w:spacing w:before="239" w:after="239" w:line="240" w:lineRule="auto"/>
        <w:textAlignment w:val="top"/>
      </w:pPr>
      <w:r>
        <w:rPr>
          <w:rFonts w:eastAsia="Calibri" w:cs="Calibri"/>
        </w:rPr>
        <w:t xml:space="preserve"> </w:t>
      </w:r>
    </w:p>
    <w:p w14:paraId="560F1363" w14:textId="77777777" w:rsidR="00700511" w:rsidRDefault="00FE7396">
      <w:pPr>
        <w:spacing w:before="239" w:after="239" w:line="240" w:lineRule="auto"/>
        <w:textAlignment w:val="top"/>
      </w:pPr>
      <w:r>
        <w:rPr>
          <w:rFonts w:eastAsia="Calibri" w:cs="Calibri"/>
          <w:b/>
          <w:bCs/>
        </w:rPr>
        <w:lastRenderedPageBreak/>
        <w:t>6. Verwerking van persoonsgegevens</w:t>
      </w:r>
      <w:r>
        <w:rPr>
          <w:rFonts w:eastAsia="Calibri" w:cs="Calibri"/>
        </w:rPr>
        <w:br/>
        <w:t>6.1. Leverancier handelt als verwerker in de zin van de Algemene verordening gegevensbescherming.</w:t>
      </w:r>
      <w:r>
        <w:rPr>
          <w:rFonts w:eastAsia="Calibri" w:cs="Calibri"/>
        </w:rPr>
        <w:br/>
        <w:t>6.2. De standaard Verwerkersovereenkomst is opgenomen in bijlage .</w:t>
      </w:r>
      <w:r>
        <w:rPr>
          <w:rFonts w:eastAsia="Calibri" w:cs="Calibri"/>
        </w:rPr>
        <w:br/>
        <w:t xml:space="preserve">6.3.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r>
        <w:rPr>
          <w:rFonts w:eastAsia="Calibri" w:cs="Calibri"/>
        </w:rPr>
        <w:br/>
        <w:t>6.4.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1B679921" w14:textId="77777777" w:rsidR="00700511" w:rsidRPr="007D720E" w:rsidRDefault="00FE7396">
      <w:pPr>
        <w:spacing w:before="239" w:after="239" w:line="240" w:lineRule="auto"/>
        <w:textAlignment w:val="top"/>
      </w:pPr>
      <w:r>
        <w:rPr>
          <w:rFonts w:eastAsia="Calibri" w:cs="Calibri"/>
          <w:b/>
          <w:bCs/>
        </w:rPr>
        <w:t>7. Vergoedingen</w:t>
      </w:r>
      <w:r>
        <w:rPr>
          <w:rFonts w:eastAsia="Calibri" w:cs="Calibri"/>
          <w:i/>
          <w:iCs/>
        </w:rPr>
        <w:br/>
      </w:r>
      <w:r w:rsidRPr="007D720E">
        <w:rPr>
          <w:rFonts w:eastAsia="Calibri" w:cs="Calibri"/>
          <w:iCs/>
        </w:rPr>
        <w:t>7.1. De vergoeding van het Onderhoud is nader gespecificeerd in</w:t>
      </w:r>
      <w:r w:rsidRPr="007D720E">
        <w:rPr>
          <w:rFonts w:eastAsia="Calibri" w:cs="Calibri"/>
        </w:rPr>
        <w:t xml:space="preserve"> </w:t>
      </w:r>
      <w:r w:rsidRPr="007D720E">
        <w:rPr>
          <w:rFonts w:eastAsia="Calibri" w:cs="Calibri"/>
          <w:iCs/>
        </w:rPr>
        <w:t>de offerte van Leverancier</w:t>
      </w:r>
      <w:r w:rsidRPr="007D720E">
        <w:rPr>
          <w:rFonts w:eastAsia="Calibri" w:cs="Calibri"/>
        </w:rPr>
        <w:t>.</w:t>
      </w:r>
      <w:r w:rsidRPr="007D720E">
        <w:rPr>
          <w:rFonts w:eastAsia="Calibri" w:cs="Calibri"/>
          <w:iCs/>
        </w:rPr>
        <w:br/>
        <w:t>7.2. Leverancier verzendt de</w:t>
      </w:r>
      <w:r w:rsidRPr="007D720E">
        <w:rPr>
          <w:rFonts w:eastAsia="Calibri" w:cs="Calibri"/>
        </w:rPr>
        <w:t xml:space="preserve"> </w:t>
      </w:r>
      <w:r w:rsidRPr="007D720E">
        <w:rPr>
          <w:rFonts w:eastAsia="Calibri" w:cs="Calibri"/>
          <w:iCs/>
        </w:rPr>
        <w:t>factuur (met routenummer: Volgt na de gunning.) aan Opdrachtgever</w:t>
      </w:r>
      <w:r w:rsidRPr="007D720E">
        <w:rPr>
          <w:rFonts w:eastAsia="Calibri" w:cs="Calibri"/>
        </w:rPr>
        <w:t xml:space="preserve"> </w:t>
      </w:r>
      <w:r w:rsidRPr="007D720E">
        <w:rPr>
          <w:rFonts w:eastAsia="Calibri" w:cs="Calibri"/>
          <w:iCs/>
          <w:u w:val="single" w:color="000000"/>
        </w:rPr>
        <w:t>elektronisch overeenkomstig de geldende eisen voor facturatie zoals opgenomen in de Gemeentelijke ICT-kwaliteitsnormen. De e-factuur wordt in ubl-formaat aangeleverd via het open PEPPOL netwerk van Simpler Invoicing. Het OIN nummer van de Opdrachtgever is 1001997956000. Kosten verband houdende met e-facturatie komen voor rekening van Leverancier.</w:t>
      </w:r>
      <w:r w:rsidRPr="007D720E">
        <w:rPr>
          <w:rFonts w:eastAsia="Calibri" w:cs="Calibri"/>
        </w:rPr>
        <w:t xml:space="preserve"> .</w:t>
      </w:r>
      <w:r w:rsidRPr="007D720E">
        <w:rPr>
          <w:rFonts w:eastAsia="Calibri" w:cs="Calibri"/>
          <w:iCs/>
        </w:rPr>
        <w:br/>
        <w:t>7.3. De in GIBIT 2020 artikel 9.8 benoemde index J62, althans sectie J, conform CPA 2008, van het Centraal Bureau voor de Statistiek, wordt logisch opgevolgd door index J 6202.</w:t>
      </w:r>
    </w:p>
    <w:p w14:paraId="706A4A7F" w14:textId="77777777" w:rsidR="00700511" w:rsidRDefault="00FE7396">
      <w:pPr>
        <w:spacing w:before="239" w:after="239" w:line="240" w:lineRule="auto"/>
        <w:textAlignment w:val="top"/>
      </w:pPr>
      <w:r>
        <w:rPr>
          <w:rFonts w:eastAsia="Calibri" w:cs="Calibri"/>
          <w:b/>
          <w:bCs/>
        </w:rPr>
        <w:t>8. Contactpersonen en bevoegdheden</w:t>
      </w:r>
      <w:r>
        <w:rPr>
          <w:rFonts w:eastAsia="Calibri" w:cs="Calibri"/>
        </w:rPr>
        <w:br/>
        <w:t>8.1. Partijen wijzen de in een bijlage gespecificeerde personen aan als contactpersoon namens hun organisatie gedurende de looptijd van de Overeenkomst.</w:t>
      </w:r>
      <w:r>
        <w:rPr>
          <w:rFonts w:eastAsia="Calibri" w:cs="Calibri"/>
        </w:rPr>
        <w:br/>
        <w:t>8.2.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8.3. Een partij mag haar contactpersonen wijzigen middels schriftelijke mededeling aan de andere partij. De wijziging zal minimaal een week van tevoren worden gemeld, behoudens in spoedgevallen.</w:t>
      </w:r>
    </w:p>
    <w:p w14:paraId="38B8DD3A" w14:textId="77777777" w:rsidR="00700511" w:rsidRDefault="00FE7396">
      <w:pPr>
        <w:spacing w:before="239" w:after="239" w:line="240" w:lineRule="auto"/>
        <w:textAlignment w:val="top"/>
      </w:pPr>
      <w:r>
        <w:rPr>
          <w:rFonts w:eastAsia="Calibri" w:cs="Calibri"/>
          <w:b/>
          <w:bCs/>
        </w:rPr>
        <w:t xml:space="preserve">9. Evaluatie </w:t>
      </w:r>
      <w:r>
        <w:rPr>
          <w:rFonts w:eastAsia="Calibri" w:cs="Calibri"/>
        </w:rPr>
        <w:br/>
        <w:t xml:space="preserve">9.1. Opdrachtgever evalueert minimaal één (1) maal per jaar de uitvoering van de opdracht en het resultaat van de ICT Prestatie. De onderwerpen van evaluatie omvatten in ieder geval en indien van toepassing:        </w:t>
      </w:r>
    </w:p>
    <w:p w14:paraId="270BD3E9" w14:textId="77777777" w:rsidR="00700511" w:rsidRDefault="00FE7396">
      <w:pPr>
        <w:spacing w:before="239" w:after="239" w:line="240" w:lineRule="auto"/>
        <w:textAlignment w:val="top"/>
      </w:pPr>
      <w:r>
        <w:rPr>
          <w:rFonts w:eastAsia="Calibri" w:cs="Calibri"/>
        </w:rPr>
        <w:t>9.2. Verder worden de tussen Partijen gesloten contractbijlagen minimaal , of op verzoek van de Partijen, geëvalueerd.</w:t>
      </w:r>
    </w:p>
    <w:p w14:paraId="0BCD6352" w14:textId="77777777" w:rsidR="00700511" w:rsidRDefault="00FE7396">
      <w:pPr>
        <w:spacing w:before="239" w:after="239" w:line="240" w:lineRule="auto"/>
        <w:textAlignment w:val="top"/>
      </w:pPr>
      <w:r>
        <w:rPr>
          <w:rFonts w:eastAsia="Calibri" w:cs="Calibri"/>
        </w:rPr>
        <w:t xml:space="preserve">Partijen kunnen voorstellen doen om de betreffende deelovereenkomst aan te passen. Aanpassingen op de documenten worden door Leverancier verwerkt. Tijdens deze evaluatie </w:t>
      </w:r>
      <w:r>
        <w:rPr>
          <w:rFonts w:eastAsia="Calibri" w:cs="Calibri"/>
        </w:rPr>
        <w:lastRenderedPageBreak/>
        <w:t xml:space="preserve">wordt het document in ieder geval getoetst op de bruikbaarheid in achterliggende periode van het document, contactpersonen en hun functie, scope van de dienstverlening of de lopende procedures. Indien nodig, kunnen additionele onderwerpen voor de evaluatie </w:t>
      </w:r>
      <w:r w:rsidR="00C2393E">
        <w:rPr>
          <w:rFonts w:eastAsia="Calibri" w:cs="Calibri"/>
        </w:rPr>
        <w:t>u</w:t>
      </w:r>
      <w:r>
        <w:rPr>
          <w:rFonts w:eastAsia="Calibri" w:cs="Calibri"/>
        </w:rPr>
        <w:t xml:space="preserve">iterlijk twee (2) weken voor het evaluatieoverleg ingediend worden.  </w:t>
      </w:r>
    </w:p>
    <w:p w14:paraId="6167F3D0" w14:textId="31DC847D" w:rsidR="00700511" w:rsidRDefault="00FE7396">
      <w:pPr>
        <w:spacing w:before="239" w:after="239" w:line="240" w:lineRule="auto"/>
        <w:textAlignment w:val="top"/>
      </w:pPr>
      <w:r>
        <w:rPr>
          <w:rFonts w:eastAsia="Calibri" w:cs="Calibri"/>
          <w:b/>
          <w:bCs/>
        </w:rPr>
        <w:t>10. Voorwaarden en overige afspraken</w:t>
      </w:r>
      <w:r>
        <w:rPr>
          <w:rFonts w:eastAsia="Calibri" w:cs="Calibri"/>
        </w:rPr>
        <w:br/>
        <w:t>10.1. Op deze Overeenkomst is de GIBIT 2020 van toepassing, zoals bijgesloten als bijlage. Leverancier verklaart een exemplaar van de GIBIT 2020 te hebben ontvangen.</w:t>
      </w:r>
      <w:r>
        <w:rPr>
          <w:rFonts w:eastAsia="Calibri" w:cs="Calibri"/>
        </w:rPr>
        <w:br/>
      </w:r>
      <w:r w:rsidRPr="001E3F13">
        <w:rPr>
          <w:rFonts w:eastAsia="Calibri" w:cs="Calibri"/>
        </w:rPr>
        <w:t xml:space="preserve">10.2. De volgende artikelen van de GIBIT 2020 zijn niet van toepassing: </w:t>
      </w:r>
      <w:r w:rsidRPr="001E3F13">
        <w:rPr>
          <w:rFonts w:eastAsia="Calibri" w:cs="Calibri"/>
          <w:i/>
          <w:iCs/>
        </w:rPr>
        <w:t>Zie aanbestedingsleidraad onderdeel 2.5.1</w:t>
      </w:r>
      <w:r w:rsidRPr="001E3F13">
        <w:rPr>
          <w:rFonts w:eastAsia="Calibri" w:cs="Calibri"/>
        </w:rPr>
        <w:t>.</w:t>
      </w:r>
      <w:r>
        <w:rPr>
          <w:rFonts w:eastAsia="Calibri" w:cs="Calibri"/>
        </w:rPr>
        <w:br/>
        <w:t>10.3. Eventuele leveringsvoorwaarden van Leverancier zijn uitdrukkelijk niet van toepassing.</w:t>
      </w:r>
      <w:r>
        <w:rPr>
          <w:rFonts w:eastAsia="Calibri" w:cs="Calibri"/>
        </w:rPr>
        <w:br/>
        <w:t>10.4. De navolgende stukken vormen gezamenlijk de Overeenkomst. Voor zover deze stukken met elkaar in tegenspraak zijn, prevaleert het eerder genoemde stuk boven het later genoemde</w:t>
      </w:r>
      <w:r w:rsidR="00994826">
        <w:rPr>
          <w:rFonts w:eastAsia="Calibri" w:cs="Calibri"/>
        </w:rPr>
        <w:t xml:space="preserve"> (in de genoemde volgorde)</w:t>
      </w:r>
      <w:r>
        <w:rPr>
          <w:rFonts w:eastAsia="Calibri" w:cs="Calibri"/>
        </w:rPr>
        <w:t>:</w:t>
      </w:r>
    </w:p>
    <w:p w14:paraId="0C72FFE5" w14:textId="5D565AA5" w:rsidR="001E3F13" w:rsidRPr="001E3F13" w:rsidRDefault="001E3F13">
      <w:pPr>
        <w:numPr>
          <w:ilvl w:val="0"/>
          <w:numId w:val="4"/>
        </w:numPr>
        <w:spacing w:line="240" w:lineRule="auto"/>
        <w:rPr>
          <w:rFonts w:ascii="Calibri" w:eastAsia="Calibri" w:hAnsi="Calibri" w:cs="Calibri"/>
        </w:rPr>
      </w:pPr>
      <w:r>
        <w:rPr>
          <w:rFonts w:ascii="Calibri" w:eastAsia="Calibri" w:hAnsi="Calibri" w:cs="Calibri"/>
        </w:rPr>
        <w:t>De Nota van Inlichtingen</w:t>
      </w:r>
      <w:r w:rsidR="00994826">
        <w:rPr>
          <w:rFonts w:ascii="Calibri" w:eastAsia="Calibri" w:hAnsi="Calibri" w:cs="Calibri"/>
        </w:rPr>
        <w:t>;</w:t>
      </w:r>
    </w:p>
    <w:p w14:paraId="6C016726" w14:textId="3983B2E6" w:rsidR="00700511" w:rsidRPr="00994826" w:rsidRDefault="00FE7396">
      <w:pPr>
        <w:numPr>
          <w:ilvl w:val="0"/>
          <w:numId w:val="4"/>
        </w:numPr>
        <w:spacing w:line="240" w:lineRule="auto"/>
        <w:rPr>
          <w:rFonts w:ascii="Calibri" w:eastAsia="Calibri" w:hAnsi="Calibri" w:cs="Calibri"/>
        </w:rPr>
      </w:pPr>
      <w:r>
        <w:rPr>
          <w:rFonts w:eastAsia="Calibri" w:cs="Calibri"/>
        </w:rPr>
        <w:t>Het onderhavige document;</w:t>
      </w:r>
    </w:p>
    <w:p w14:paraId="51048233" w14:textId="5635A48B" w:rsidR="00994826" w:rsidRPr="000C48B8" w:rsidRDefault="00994826" w:rsidP="00994826">
      <w:pPr>
        <w:numPr>
          <w:ilvl w:val="0"/>
          <w:numId w:val="4"/>
        </w:numPr>
        <w:spacing w:line="240" w:lineRule="auto"/>
        <w:rPr>
          <w:rFonts w:ascii="Calibri" w:eastAsia="Calibri" w:hAnsi="Calibri" w:cs="Calibri"/>
        </w:rPr>
      </w:pPr>
      <w:r>
        <w:rPr>
          <w:rFonts w:eastAsia="Calibri" w:cs="Calibri"/>
          <w:color w:val="000000"/>
        </w:rPr>
        <w:t>Het Beschrijvend Document</w:t>
      </w:r>
      <w:r w:rsidR="000C48B8">
        <w:rPr>
          <w:rFonts w:eastAsia="Calibri" w:cs="Calibri"/>
          <w:color w:val="000000"/>
        </w:rPr>
        <w:t xml:space="preserve"> inclusief bijlagen</w:t>
      </w:r>
      <w:r>
        <w:rPr>
          <w:rFonts w:eastAsia="Calibri" w:cs="Calibri"/>
          <w:color w:val="000000"/>
        </w:rPr>
        <w:t>;</w:t>
      </w:r>
    </w:p>
    <w:p w14:paraId="012DFA0F" w14:textId="51A2C81A" w:rsidR="000C48B8" w:rsidRDefault="000C48B8" w:rsidP="00994826">
      <w:pPr>
        <w:numPr>
          <w:ilvl w:val="0"/>
          <w:numId w:val="4"/>
        </w:numPr>
        <w:spacing w:line="240" w:lineRule="auto"/>
        <w:rPr>
          <w:rFonts w:ascii="Calibri" w:eastAsia="Calibri" w:hAnsi="Calibri" w:cs="Calibri"/>
        </w:rPr>
      </w:pPr>
      <w:r>
        <w:rPr>
          <w:rFonts w:eastAsia="Calibri" w:cs="Calibri"/>
          <w:color w:val="000000"/>
        </w:rPr>
        <w:t>GIBIT 2020;</w:t>
      </w:r>
    </w:p>
    <w:p w14:paraId="3ED2CDEF" w14:textId="58457261" w:rsidR="00994826" w:rsidRPr="00994826" w:rsidRDefault="00994826" w:rsidP="00994826">
      <w:pPr>
        <w:numPr>
          <w:ilvl w:val="0"/>
          <w:numId w:val="4"/>
        </w:numPr>
        <w:spacing w:line="240" w:lineRule="auto"/>
        <w:rPr>
          <w:rFonts w:ascii="Calibri" w:eastAsia="Calibri" w:hAnsi="Calibri" w:cs="Calibri"/>
        </w:rPr>
      </w:pPr>
      <w:r>
        <w:rPr>
          <w:rFonts w:eastAsia="Calibri" w:cs="Calibri"/>
          <w:color w:val="000000"/>
        </w:rPr>
        <w:t>De Offerte van de Leverancier.</w:t>
      </w:r>
    </w:p>
    <w:p w14:paraId="5C37E9DE" w14:textId="77777777" w:rsidR="00700511" w:rsidRDefault="00FE7396">
      <w:pPr>
        <w:spacing w:before="239" w:after="239" w:line="240" w:lineRule="auto"/>
        <w:textAlignment w:val="top"/>
      </w:pPr>
      <w:r>
        <w:rPr>
          <w:rFonts w:eastAsia="Calibri" w:cs="Calibri"/>
        </w:rPr>
        <w:t>10.5. In de Overeenkomst wordt een aantal begrippen met een beginhoofdletter gebruikt. Aan deze begrippen komt de betekenis toe die hieraan is gegeven in de GIBIT 2020.</w:t>
      </w:r>
    </w:p>
    <w:p w14:paraId="6813E068" w14:textId="77777777" w:rsidR="00700511" w:rsidRDefault="00FE7396">
      <w:pPr>
        <w:spacing w:before="239" w:after="239" w:line="240" w:lineRule="auto"/>
        <w:textAlignment w:val="top"/>
      </w:pPr>
      <w:r>
        <w:rPr>
          <w:rFonts w:eastAsia="Calibri" w:cs="Calibri"/>
          <w:i/>
          <w:iCs/>
        </w:rPr>
        <w:t>Aangezien dit een conceptovereenkomst betreft kan deze derhalve niet ondertekend worden.</w:t>
      </w:r>
    </w:p>
    <w:p w14:paraId="5D94F229" w14:textId="77777777" w:rsidR="00700511" w:rsidRDefault="00FE7396">
      <w:pPr>
        <w:spacing w:before="239" w:after="239" w:line="240" w:lineRule="auto"/>
        <w:textAlignment w:val="top"/>
      </w:pPr>
      <w:r>
        <w:rPr>
          <w:rFonts w:eastAsia="Calibri" w:cs="Calibri"/>
        </w:rPr>
        <w:t xml:space="preserve"> </w:t>
      </w:r>
      <w:r>
        <w:br w:type="page"/>
      </w:r>
    </w:p>
    <w:p w14:paraId="361AFCD1" w14:textId="77777777" w:rsidR="00700511" w:rsidRDefault="00700511">
      <w:pPr>
        <w:spacing w:line="240" w:lineRule="auto"/>
      </w:pPr>
    </w:p>
    <w:p w14:paraId="4461A34F" w14:textId="77777777" w:rsidR="00700511" w:rsidRDefault="00FE7396">
      <w:pPr>
        <w:pStyle w:val="Kop2"/>
        <w:spacing w:before="199" w:after="199" w:line="240" w:lineRule="auto"/>
      </w:pPr>
      <w:r>
        <w:t>OVERZICHT BIJLAGEN</w:t>
      </w:r>
    </w:p>
    <w:p w14:paraId="70C2EF2E" w14:textId="77777777" w:rsidR="00700511" w:rsidRDefault="00FE7396">
      <w:pPr>
        <w:numPr>
          <w:ilvl w:val="0"/>
          <w:numId w:val="4"/>
        </w:numPr>
        <w:spacing w:line="240" w:lineRule="auto"/>
        <w:rPr>
          <w:rFonts w:ascii="Calibri" w:eastAsia="Calibri" w:hAnsi="Calibri" w:cs="Calibri"/>
        </w:rPr>
      </w:pPr>
      <w:r>
        <w:rPr>
          <w:rFonts w:eastAsia="Calibri" w:cs="Calibri"/>
        </w:rPr>
        <w:t>De Nota van Inlichtingen;</w:t>
      </w:r>
    </w:p>
    <w:p w14:paraId="015E9D9E" w14:textId="77777777" w:rsidR="00700511" w:rsidRDefault="00FE7396">
      <w:pPr>
        <w:numPr>
          <w:ilvl w:val="0"/>
          <w:numId w:val="4"/>
        </w:numPr>
        <w:spacing w:line="240" w:lineRule="auto"/>
        <w:rPr>
          <w:rFonts w:ascii="Calibri" w:eastAsia="Calibri" w:hAnsi="Calibri" w:cs="Calibri"/>
        </w:rPr>
      </w:pPr>
      <w:r>
        <w:rPr>
          <w:rFonts w:eastAsia="Calibri" w:cs="Calibri"/>
        </w:rPr>
        <w:t>Het Beschrijvend Document;</w:t>
      </w:r>
    </w:p>
    <w:p w14:paraId="25D16B13" w14:textId="77777777" w:rsidR="00700511" w:rsidRDefault="00FE7396">
      <w:pPr>
        <w:numPr>
          <w:ilvl w:val="0"/>
          <w:numId w:val="4"/>
        </w:numPr>
        <w:spacing w:line="240" w:lineRule="auto"/>
        <w:rPr>
          <w:rFonts w:ascii="Calibri" w:eastAsia="Calibri" w:hAnsi="Calibri" w:cs="Calibri"/>
        </w:rPr>
      </w:pPr>
      <w:r>
        <w:rPr>
          <w:rFonts w:eastAsia="Calibri" w:cs="Calibri"/>
        </w:rPr>
        <w:t>Het Programma van Eisen;</w:t>
      </w:r>
    </w:p>
    <w:p w14:paraId="6E0585FA" w14:textId="77777777" w:rsidR="00700511" w:rsidRDefault="00FE7396">
      <w:pPr>
        <w:numPr>
          <w:ilvl w:val="0"/>
          <w:numId w:val="4"/>
        </w:numPr>
        <w:spacing w:line="240" w:lineRule="auto"/>
        <w:rPr>
          <w:rFonts w:ascii="Calibri" w:eastAsia="Calibri" w:hAnsi="Calibri" w:cs="Calibri"/>
        </w:rPr>
      </w:pPr>
      <w:r>
        <w:rPr>
          <w:rFonts w:eastAsia="Calibri" w:cs="Calibri"/>
        </w:rPr>
        <w:t>Het Bestek;</w:t>
      </w:r>
    </w:p>
    <w:p w14:paraId="64F1B780" w14:textId="77777777" w:rsidR="00700511" w:rsidRDefault="00FE7396">
      <w:pPr>
        <w:numPr>
          <w:ilvl w:val="0"/>
          <w:numId w:val="4"/>
        </w:numPr>
        <w:spacing w:line="240" w:lineRule="auto"/>
        <w:rPr>
          <w:rFonts w:ascii="Calibri" w:eastAsia="Calibri" w:hAnsi="Calibri" w:cs="Calibri"/>
        </w:rPr>
      </w:pPr>
      <w:r>
        <w:rPr>
          <w:rFonts w:eastAsia="Calibri" w:cs="Calibri"/>
        </w:rPr>
        <w:t>De Offerte van de Leverancier;</w:t>
      </w:r>
    </w:p>
    <w:p w14:paraId="28198C7B" w14:textId="77777777" w:rsidR="00700511" w:rsidRDefault="00FE7396">
      <w:pPr>
        <w:numPr>
          <w:ilvl w:val="0"/>
          <w:numId w:val="4"/>
        </w:numPr>
        <w:spacing w:line="240" w:lineRule="auto"/>
        <w:rPr>
          <w:rFonts w:ascii="Calibri" w:eastAsia="Calibri" w:hAnsi="Calibri" w:cs="Calibri"/>
        </w:rPr>
      </w:pPr>
      <w:r>
        <w:rPr>
          <w:rFonts w:eastAsia="Calibri" w:cs="Calibri"/>
        </w:rPr>
        <w:t>Contactpersonen Opdrachtgever;</w:t>
      </w:r>
    </w:p>
    <w:p w14:paraId="772F227F" w14:textId="77777777" w:rsidR="00700511" w:rsidRDefault="00FE7396">
      <w:pPr>
        <w:numPr>
          <w:ilvl w:val="0"/>
          <w:numId w:val="4"/>
        </w:numPr>
        <w:spacing w:line="240" w:lineRule="auto"/>
        <w:rPr>
          <w:rFonts w:ascii="Calibri" w:eastAsia="Calibri" w:hAnsi="Calibri" w:cs="Calibri"/>
        </w:rPr>
      </w:pPr>
      <w:r>
        <w:rPr>
          <w:rFonts w:eastAsia="Calibri" w:cs="Calibri"/>
        </w:rPr>
        <w:t>Contactpersonen Leverancier.</w:t>
      </w:r>
    </w:p>
    <w:sectPr w:rsidR="00700511">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775A5" w14:textId="77777777" w:rsidR="00D476E7" w:rsidRDefault="00D476E7">
      <w:pPr>
        <w:spacing w:line="240" w:lineRule="auto"/>
      </w:pPr>
      <w:r>
        <w:separator/>
      </w:r>
    </w:p>
  </w:endnote>
  <w:endnote w:type="continuationSeparator" w:id="0">
    <w:p w14:paraId="653DBA4C" w14:textId="77777777" w:rsidR="00D476E7" w:rsidRDefault="00D476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5C01" w14:textId="77777777" w:rsidR="00700511" w:rsidRDefault="00FE7396">
    <w:pPr>
      <w:pStyle w:val="Voettekst"/>
      <w:tabs>
        <w:tab w:val="clear" w:pos="9026"/>
        <w:tab w:val="right" w:pos="9020"/>
      </w:tabs>
    </w:pPr>
    <w:r>
      <w:tab/>
    </w:r>
    <w:r>
      <w:tab/>
      <w:t xml:space="preserve">Pagina </w:t>
    </w:r>
    <w:r>
      <w:fldChar w:fldCharType="begin"/>
    </w:r>
    <w:r>
      <w:instrText xml:space="preserve"> PAGE \* ARABIC </w:instrText>
    </w:r>
    <w:r>
      <w:fldChar w:fldCharType="separate"/>
    </w:r>
    <w:r w:rsidR="006536D6">
      <w:rPr>
        <w:noProof/>
      </w:rPr>
      <w:t>2</w:t>
    </w:r>
    <w:r>
      <w:fldChar w:fldCharType="end"/>
    </w:r>
    <w:r>
      <w:t xml:space="preserve"> van </w:t>
    </w:r>
    <w:fldSimple w:instr=" NUMPAGES \* ARABIC ">
      <w:r w:rsidR="006536D6">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853E" w14:textId="77777777" w:rsidR="00D476E7" w:rsidRDefault="00D476E7">
      <w:pPr>
        <w:spacing w:line="240" w:lineRule="auto"/>
      </w:pPr>
      <w:r>
        <w:separator/>
      </w:r>
    </w:p>
  </w:footnote>
  <w:footnote w:type="continuationSeparator" w:id="0">
    <w:p w14:paraId="5BE666AB" w14:textId="77777777" w:rsidR="00D476E7" w:rsidRDefault="00D476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4348"/>
    <w:multiLevelType w:val="multilevel"/>
    <w:tmpl w:val="BCC08E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92A437A"/>
    <w:multiLevelType w:val="multilevel"/>
    <w:tmpl w:val="AD38D90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23B91621"/>
    <w:multiLevelType w:val="multilevel"/>
    <w:tmpl w:val="4F62B5C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7A465D5"/>
    <w:multiLevelType w:val="multilevel"/>
    <w:tmpl w:val="EA405B9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BA803C8"/>
    <w:multiLevelType w:val="hybridMultilevel"/>
    <w:tmpl w:val="92F65460"/>
    <w:lvl w:ilvl="0" w:tplc="52509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210463"/>
    <w:multiLevelType w:val="multilevel"/>
    <w:tmpl w:val="ED6E3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B1C6834"/>
    <w:multiLevelType w:val="hybridMultilevel"/>
    <w:tmpl w:val="E52EC7D0"/>
    <w:lvl w:ilvl="0" w:tplc="39898816">
      <w:start w:val="1"/>
      <w:numFmt w:val="decimal"/>
      <w:lvlText w:val="%1."/>
      <w:lvlJc w:val="left"/>
      <w:pPr>
        <w:ind w:left="720" w:hanging="360"/>
      </w:pPr>
    </w:lvl>
    <w:lvl w:ilvl="1" w:tplc="39898816" w:tentative="1">
      <w:start w:val="1"/>
      <w:numFmt w:val="lowerLetter"/>
      <w:lvlText w:val="%2."/>
      <w:lvlJc w:val="left"/>
      <w:pPr>
        <w:ind w:left="1440" w:hanging="360"/>
      </w:pPr>
    </w:lvl>
    <w:lvl w:ilvl="2" w:tplc="39898816" w:tentative="1">
      <w:start w:val="1"/>
      <w:numFmt w:val="lowerRoman"/>
      <w:lvlText w:val="%3."/>
      <w:lvlJc w:val="right"/>
      <w:pPr>
        <w:ind w:left="2160" w:hanging="180"/>
      </w:pPr>
    </w:lvl>
    <w:lvl w:ilvl="3" w:tplc="39898816" w:tentative="1">
      <w:start w:val="1"/>
      <w:numFmt w:val="decimal"/>
      <w:lvlText w:val="%4."/>
      <w:lvlJc w:val="left"/>
      <w:pPr>
        <w:ind w:left="2880" w:hanging="360"/>
      </w:pPr>
    </w:lvl>
    <w:lvl w:ilvl="4" w:tplc="39898816" w:tentative="1">
      <w:start w:val="1"/>
      <w:numFmt w:val="lowerLetter"/>
      <w:lvlText w:val="%5."/>
      <w:lvlJc w:val="left"/>
      <w:pPr>
        <w:ind w:left="3600" w:hanging="360"/>
      </w:pPr>
    </w:lvl>
    <w:lvl w:ilvl="5" w:tplc="39898816" w:tentative="1">
      <w:start w:val="1"/>
      <w:numFmt w:val="lowerRoman"/>
      <w:lvlText w:val="%6."/>
      <w:lvlJc w:val="right"/>
      <w:pPr>
        <w:ind w:left="4320" w:hanging="180"/>
      </w:pPr>
    </w:lvl>
    <w:lvl w:ilvl="6" w:tplc="39898816" w:tentative="1">
      <w:start w:val="1"/>
      <w:numFmt w:val="decimal"/>
      <w:lvlText w:val="%7."/>
      <w:lvlJc w:val="left"/>
      <w:pPr>
        <w:ind w:left="5040" w:hanging="360"/>
      </w:pPr>
    </w:lvl>
    <w:lvl w:ilvl="7" w:tplc="39898816" w:tentative="1">
      <w:start w:val="1"/>
      <w:numFmt w:val="lowerLetter"/>
      <w:lvlText w:val="%8."/>
      <w:lvlJc w:val="left"/>
      <w:pPr>
        <w:ind w:left="5760" w:hanging="360"/>
      </w:pPr>
    </w:lvl>
    <w:lvl w:ilvl="8" w:tplc="39898816" w:tentative="1">
      <w:start w:val="1"/>
      <w:numFmt w:val="lowerRoman"/>
      <w:lvlText w:val="%9."/>
      <w:lvlJc w:val="right"/>
      <w:pPr>
        <w:ind w:left="6480" w:hanging="180"/>
      </w:pPr>
    </w:lvl>
  </w:abstractNum>
  <w:num w:numId="1" w16cid:durableId="1371759871">
    <w:abstractNumId w:val="1"/>
  </w:num>
  <w:num w:numId="2" w16cid:durableId="2088071637">
    <w:abstractNumId w:val="2"/>
  </w:num>
  <w:num w:numId="3" w16cid:durableId="852452712">
    <w:abstractNumId w:val="3"/>
  </w:num>
  <w:num w:numId="4" w16cid:durableId="1066799907">
    <w:abstractNumId w:val="0"/>
  </w:num>
  <w:num w:numId="5" w16cid:durableId="803233520">
    <w:abstractNumId w:val="5"/>
  </w:num>
  <w:num w:numId="6" w16cid:durableId="1121607966">
    <w:abstractNumId w:val="4"/>
  </w:num>
  <w:num w:numId="7" w16cid:durableId="67506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11"/>
    <w:rsid w:val="000B7E27"/>
    <w:rsid w:val="000C48B8"/>
    <w:rsid w:val="001E3F13"/>
    <w:rsid w:val="0049516C"/>
    <w:rsid w:val="006536D6"/>
    <w:rsid w:val="006D5069"/>
    <w:rsid w:val="00700511"/>
    <w:rsid w:val="007D720E"/>
    <w:rsid w:val="00994826"/>
    <w:rsid w:val="00A26C8A"/>
    <w:rsid w:val="00C2393E"/>
    <w:rsid w:val="00D476E7"/>
    <w:rsid w:val="00E4574F"/>
    <w:rsid w:val="00EE1209"/>
    <w:rsid w:val="00FE739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C007"/>
  <w15:docId w15:val="{705F1299-E32B-42E5-9EEA-3601933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F21A8FBF-963D-45AA-8D77-DEE5AB154555}"/>
</file>

<file path=customXml/itemProps2.xml><?xml version="1.0" encoding="utf-8"?>
<ds:datastoreItem xmlns:ds="http://schemas.openxmlformats.org/officeDocument/2006/customXml" ds:itemID="{50D274E8-4A16-41D5-960C-787D28721FD3}">
  <ds:schemaRefs>
    <ds:schemaRef ds:uri="http://schemas.microsoft.com/sharepoint/v3/contenttype/forms"/>
  </ds:schemaRefs>
</ds:datastoreItem>
</file>

<file path=customXml/itemProps3.xml><?xml version="1.0" encoding="utf-8"?>
<ds:datastoreItem xmlns:ds="http://schemas.openxmlformats.org/officeDocument/2006/customXml" ds:itemID="{D79D267E-8366-4039-B5CC-61C6432386A4}">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1236</Words>
  <Characters>6804</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Overeenkomst ten behoeve van ICT Prestatie GIBIT 2020 [638]</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[638]</dc:title>
  <dc:subject/>
  <dc:creator>Breedveld, Frans</dc:creator>
  <dc:description/>
  <cp:lastModifiedBy>Hielke Kuin - De Inkoop Adviesgroep</cp:lastModifiedBy>
  <cp:revision>7</cp:revision>
  <dcterms:created xsi:type="dcterms:W3CDTF">2022-10-06T13:45:00Z</dcterms:created>
  <dcterms:modified xsi:type="dcterms:W3CDTF">2022-10-27T14:45:00Z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